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C7474" w14:textId="77777777" w:rsidR="00141118" w:rsidRPr="00434CF3" w:rsidRDefault="00E43F01" w:rsidP="00434CF3">
      <w:pPr>
        <w:spacing w:before="240"/>
        <w:jc w:val="center"/>
        <w:outlineLvl w:val="0"/>
        <w:rPr>
          <w:rFonts w:ascii="Arial" w:hAnsi="Arial" w:cs="Arial"/>
        </w:rPr>
      </w:pPr>
      <w:bookmarkStart w:id="0" w:name="bookmark0"/>
      <w:bookmarkStart w:id="1" w:name="_GoBack"/>
      <w:bookmarkEnd w:id="1"/>
      <w:r>
        <w:rPr>
          <w:rFonts w:ascii="Arial" w:hAnsi="Arial"/>
          <w:b/>
        </w:rPr>
        <w:t>OPEN BANKING REGULATIONS AT BNP PARIBAS BANK POLSKA S.A.</w:t>
      </w:r>
      <w:bookmarkEnd w:id="0"/>
    </w:p>
    <w:p w14:paraId="743C6FB6" w14:textId="77777777" w:rsidR="00141118" w:rsidRPr="0097725F" w:rsidRDefault="00E43F01" w:rsidP="0097725F">
      <w:pPr>
        <w:spacing w:before="240"/>
        <w:jc w:val="both"/>
        <w:outlineLvl w:val="1"/>
        <w:rPr>
          <w:rFonts w:ascii="Arial" w:hAnsi="Arial" w:cs="Arial"/>
          <w:sz w:val="20"/>
        </w:rPr>
      </w:pPr>
      <w:bookmarkStart w:id="2" w:name="bookmark1"/>
      <w:bookmarkStart w:id="3" w:name="bookmark2"/>
      <w:r>
        <w:rPr>
          <w:rFonts w:ascii="Arial" w:hAnsi="Arial"/>
          <w:b/>
          <w:sz w:val="20"/>
        </w:rPr>
        <w:t>§ 1. General Provisions</w:t>
      </w:r>
      <w:bookmarkEnd w:id="2"/>
      <w:bookmarkEnd w:id="3"/>
    </w:p>
    <w:p w14:paraId="4D9696C5" w14:textId="77777777" w:rsidR="00141118" w:rsidRPr="0097725F" w:rsidRDefault="00E43F01" w:rsidP="00434CF3">
      <w:pPr>
        <w:jc w:val="both"/>
        <w:outlineLvl w:val="1"/>
        <w:rPr>
          <w:rFonts w:ascii="Arial" w:hAnsi="Arial" w:cs="Arial"/>
          <w:sz w:val="20"/>
        </w:rPr>
      </w:pPr>
      <w:bookmarkStart w:id="4" w:name="bookmark3"/>
      <w:bookmarkStart w:id="5" w:name="bookmark4"/>
      <w:r>
        <w:rPr>
          <w:rFonts w:ascii="Arial" w:hAnsi="Arial"/>
          <w:sz w:val="20"/>
        </w:rPr>
        <w:t>These Regulations set out the rules for provision of the Open Banking Service by BNP Paribas Bank Polska S.A. with its registered office in Warsaw for customers using GOonline.</w:t>
      </w:r>
      <w:bookmarkEnd w:id="4"/>
      <w:bookmarkEnd w:id="5"/>
    </w:p>
    <w:p w14:paraId="2522F4EF" w14:textId="77777777" w:rsidR="00141118" w:rsidRPr="0097725F" w:rsidRDefault="00E43F01" w:rsidP="0097725F">
      <w:pPr>
        <w:spacing w:before="240"/>
        <w:jc w:val="both"/>
        <w:outlineLvl w:val="1"/>
        <w:rPr>
          <w:rFonts w:ascii="Arial" w:hAnsi="Arial" w:cs="Arial"/>
          <w:sz w:val="20"/>
        </w:rPr>
      </w:pPr>
      <w:bookmarkStart w:id="6" w:name="bookmark5"/>
      <w:bookmarkStart w:id="7" w:name="bookmark6"/>
      <w:r>
        <w:rPr>
          <w:rFonts w:ascii="Arial" w:hAnsi="Arial"/>
          <w:b/>
          <w:sz w:val="20"/>
        </w:rPr>
        <w:t>§ 2. Definitions</w:t>
      </w:r>
      <w:bookmarkEnd w:id="6"/>
      <w:bookmarkEnd w:id="7"/>
    </w:p>
    <w:p w14:paraId="491B47D8" w14:textId="77777777" w:rsidR="00141118" w:rsidRPr="0097725F" w:rsidRDefault="00E43F01" w:rsidP="00EA3595">
      <w:pPr>
        <w:ind w:left="851" w:hanging="357"/>
        <w:jc w:val="both"/>
        <w:rPr>
          <w:rFonts w:ascii="Arial" w:hAnsi="Arial" w:cs="Arial"/>
          <w:sz w:val="20"/>
        </w:rPr>
      </w:pPr>
      <w:bookmarkStart w:id="8" w:name="bookmark7"/>
      <w:bookmarkStart w:id="9" w:name="bookmark8"/>
      <w:r>
        <w:rPr>
          <w:rFonts w:ascii="Arial" w:hAnsi="Arial"/>
          <w:sz w:val="20"/>
        </w:rPr>
        <w:t>1.</w:t>
      </w:r>
      <w:r>
        <w:rPr>
          <w:rFonts w:ascii="Arial" w:hAnsi="Arial"/>
          <w:sz w:val="20"/>
        </w:rPr>
        <w:tab/>
        <w:t>Terms and expressions used in the Regulations shall have the following meaning:</w:t>
      </w:r>
      <w:bookmarkEnd w:id="8"/>
      <w:bookmarkEnd w:id="9"/>
    </w:p>
    <w:p w14:paraId="36A00D33" w14:textId="77777777" w:rsidR="00141118" w:rsidRPr="0097725F" w:rsidRDefault="00E43F01" w:rsidP="00EA3595">
      <w:pPr>
        <w:spacing w:before="240"/>
        <w:ind w:left="1134" w:hanging="357"/>
        <w:jc w:val="both"/>
        <w:rPr>
          <w:rFonts w:ascii="Arial" w:hAnsi="Arial" w:cs="Arial"/>
          <w:sz w:val="20"/>
        </w:rPr>
      </w:pPr>
      <w:bookmarkStart w:id="10" w:name="bookmark10"/>
      <w:bookmarkStart w:id="11" w:name="bookmark9"/>
      <w:r>
        <w:rPr>
          <w:rFonts w:ascii="Arial" w:hAnsi="Arial"/>
          <w:sz w:val="20"/>
        </w:rPr>
        <w:t>1)</w:t>
      </w:r>
      <w:r>
        <w:rPr>
          <w:rFonts w:ascii="Arial" w:hAnsi="Arial"/>
          <w:sz w:val="20"/>
        </w:rPr>
        <w:tab/>
      </w:r>
      <w:r>
        <w:rPr>
          <w:rFonts w:ascii="Arial" w:hAnsi="Arial"/>
          <w:b/>
          <w:sz w:val="20"/>
        </w:rPr>
        <w:t xml:space="preserve">Provider API </w:t>
      </w:r>
      <w:r>
        <w:rPr>
          <w:rFonts w:ascii="Arial" w:hAnsi="Arial"/>
          <w:sz w:val="20"/>
        </w:rPr>
        <w:t>– an interface provided by the Provider that allows the Bank to provide the Open Banking Service at the User’s request and based on the User’s consent;</w:t>
      </w:r>
      <w:bookmarkEnd w:id="10"/>
      <w:bookmarkEnd w:id="11"/>
    </w:p>
    <w:p w14:paraId="35272E4D" w14:textId="77777777" w:rsidR="00141118" w:rsidRPr="0097725F" w:rsidRDefault="00E43F01" w:rsidP="00EA3595">
      <w:pPr>
        <w:ind w:left="1134" w:hanging="357"/>
        <w:jc w:val="both"/>
        <w:rPr>
          <w:rFonts w:ascii="Arial" w:hAnsi="Arial" w:cs="Arial"/>
          <w:sz w:val="20"/>
        </w:rPr>
      </w:pPr>
      <w:r>
        <w:rPr>
          <w:rFonts w:ascii="Arial" w:hAnsi="Arial"/>
          <w:sz w:val="20"/>
        </w:rPr>
        <w:t>2)</w:t>
      </w:r>
      <w:r>
        <w:rPr>
          <w:rFonts w:ascii="Arial" w:hAnsi="Arial"/>
          <w:sz w:val="20"/>
        </w:rPr>
        <w:tab/>
      </w:r>
      <w:r>
        <w:rPr>
          <w:rFonts w:ascii="Arial" w:hAnsi="Arial"/>
          <w:b/>
          <w:sz w:val="20"/>
        </w:rPr>
        <w:t>Bank</w:t>
      </w:r>
      <w:r>
        <w:rPr>
          <w:rFonts w:ascii="Arial" w:hAnsi="Arial"/>
          <w:sz w:val="20"/>
        </w:rPr>
        <w:t xml:space="preserve"> – BNP Paribas Bank Polska S.A. with its registered office in Warsaw, ul. Kasprzaka 2, entered into the Entrepreneurs’ Register kept by the District Court for the Capital City of Warsaw, 13th Commercial Division of the National Court Register, under KRS number: 0000011571, Tax Identification Number (NIP): 526-10-08-546, share capital of PLN 147,518,782 (fully paid-up), supervised by the Polish Financial Supervision Authority;</w:t>
      </w:r>
    </w:p>
    <w:p w14:paraId="3B281278" w14:textId="77777777" w:rsidR="00141118" w:rsidRPr="0097725F" w:rsidRDefault="00E43F01" w:rsidP="00EA3595">
      <w:pPr>
        <w:ind w:left="1134" w:hanging="357"/>
        <w:jc w:val="both"/>
        <w:rPr>
          <w:rFonts w:ascii="Arial" w:hAnsi="Arial" w:cs="Arial"/>
          <w:sz w:val="20"/>
        </w:rPr>
      </w:pPr>
      <w:r>
        <w:rPr>
          <w:rFonts w:ascii="Arial" w:hAnsi="Arial"/>
          <w:sz w:val="20"/>
        </w:rPr>
        <w:t>3)</w:t>
      </w:r>
      <w:r>
        <w:rPr>
          <w:rFonts w:ascii="Arial" w:hAnsi="Arial"/>
          <w:sz w:val="20"/>
        </w:rPr>
        <w:tab/>
      </w:r>
      <w:r>
        <w:rPr>
          <w:rFonts w:ascii="Arial" w:hAnsi="Arial"/>
          <w:b/>
          <w:sz w:val="20"/>
        </w:rPr>
        <w:t>Online Banking</w:t>
      </w:r>
      <w:r>
        <w:rPr>
          <w:rFonts w:ascii="Arial" w:hAnsi="Arial"/>
          <w:sz w:val="20"/>
        </w:rPr>
        <w:t>– the GOonline banking system that provides access to information about the User’s products and enables the placement of instructions using the Internet and a device equipped with an Internet browser;</w:t>
      </w:r>
    </w:p>
    <w:p w14:paraId="7E9AD7E6" w14:textId="61F6DCFA" w:rsidR="00141118" w:rsidRPr="0097725F" w:rsidRDefault="00E43F01" w:rsidP="00EA3595">
      <w:pPr>
        <w:ind w:left="1134" w:hanging="357"/>
        <w:jc w:val="both"/>
        <w:rPr>
          <w:rFonts w:ascii="Arial" w:hAnsi="Arial" w:cs="Arial"/>
          <w:sz w:val="20"/>
        </w:rPr>
      </w:pPr>
      <w:r>
        <w:rPr>
          <w:rFonts w:ascii="Arial" w:hAnsi="Arial"/>
          <w:sz w:val="20"/>
        </w:rPr>
        <w:t>4)</w:t>
      </w:r>
      <w:r>
        <w:rPr>
          <w:rFonts w:ascii="Arial" w:hAnsi="Arial"/>
          <w:sz w:val="20"/>
        </w:rPr>
        <w:tab/>
      </w:r>
      <w:r>
        <w:rPr>
          <w:rFonts w:ascii="Arial" w:hAnsi="Arial"/>
          <w:b/>
          <w:sz w:val="20"/>
        </w:rPr>
        <w:t xml:space="preserve">Provider </w:t>
      </w:r>
      <w:r>
        <w:rPr>
          <w:rFonts w:ascii="Arial" w:hAnsi="Arial"/>
          <w:sz w:val="20"/>
        </w:rPr>
        <w:t>– a provider of payment services other than the Bank, operating the User’s Account, e.g. another bank;</w:t>
      </w:r>
    </w:p>
    <w:p w14:paraId="155988CB" w14:textId="77777777" w:rsidR="00141118" w:rsidRPr="0097725F" w:rsidRDefault="00E43F01" w:rsidP="00EA3595">
      <w:pPr>
        <w:ind w:left="1134" w:hanging="357"/>
        <w:jc w:val="both"/>
        <w:rPr>
          <w:rFonts w:ascii="Arial" w:hAnsi="Arial" w:cs="Arial"/>
          <w:sz w:val="20"/>
        </w:rPr>
      </w:pPr>
      <w:r>
        <w:rPr>
          <w:rFonts w:ascii="Arial" w:hAnsi="Arial"/>
          <w:sz w:val="20"/>
        </w:rPr>
        <w:t>5)</w:t>
      </w:r>
      <w:r>
        <w:rPr>
          <w:rFonts w:ascii="Arial" w:hAnsi="Arial"/>
          <w:sz w:val="20"/>
        </w:rPr>
        <w:tab/>
      </w:r>
      <w:r>
        <w:rPr>
          <w:rFonts w:ascii="Arial" w:hAnsi="Arial"/>
          <w:b/>
          <w:sz w:val="20"/>
        </w:rPr>
        <w:t xml:space="preserve">Account </w:t>
      </w:r>
      <w:r>
        <w:rPr>
          <w:rFonts w:ascii="Arial" w:hAnsi="Arial"/>
          <w:sz w:val="20"/>
        </w:rPr>
        <w:t>– a payment account available online, operated by the Provider for the execution of payment transactions;</w:t>
      </w:r>
    </w:p>
    <w:p w14:paraId="26E19F80" w14:textId="77777777" w:rsidR="00141118" w:rsidRPr="0097725F" w:rsidRDefault="00E43F01" w:rsidP="00EA3595">
      <w:pPr>
        <w:ind w:left="1134" w:hanging="357"/>
        <w:jc w:val="both"/>
        <w:rPr>
          <w:rFonts w:ascii="Arial" w:hAnsi="Arial" w:cs="Arial"/>
          <w:sz w:val="20"/>
        </w:rPr>
      </w:pPr>
      <w:r>
        <w:rPr>
          <w:rFonts w:ascii="Arial" w:hAnsi="Arial"/>
          <w:sz w:val="20"/>
        </w:rPr>
        <w:t>6)</w:t>
      </w:r>
      <w:r>
        <w:rPr>
          <w:rFonts w:ascii="Arial" w:hAnsi="Arial"/>
          <w:sz w:val="20"/>
        </w:rPr>
        <w:tab/>
      </w:r>
      <w:r>
        <w:rPr>
          <w:rFonts w:ascii="Arial" w:hAnsi="Arial"/>
          <w:b/>
          <w:sz w:val="20"/>
        </w:rPr>
        <w:t>Regulations</w:t>
      </w:r>
      <w:r>
        <w:rPr>
          <w:rFonts w:ascii="Arial" w:hAnsi="Arial"/>
          <w:sz w:val="20"/>
        </w:rPr>
        <w:t xml:space="preserve"> – Open Banking Regulations at BNP Paribas Bank Polska S.A.;</w:t>
      </w:r>
    </w:p>
    <w:p w14:paraId="38B0BD7A" w14:textId="77777777" w:rsidR="00141118" w:rsidRPr="0097725F" w:rsidRDefault="00E43F01" w:rsidP="00EA3595">
      <w:pPr>
        <w:ind w:left="1134" w:hanging="357"/>
        <w:jc w:val="both"/>
        <w:rPr>
          <w:rFonts w:ascii="Arial" w:hAnsi="Arial" w:cs="Arial"/>
          <w:sz w:val="20"/>
        </w:rPr>
      </w:pPr>
      <w:r>
        <w:rPr>
          <w:rFonts w:ascii="Arial" w:hAnsi="Arial"/>
          <w:sz w:val="20"/>
        </w:rPr>
        <w:t>7)</w:t>
      </w:r>
      <w:r>
        <w:rPr>
          <w:rFonts w:ascii="Arial" w:hAnsi="Arial"/>
          <w:sz w:val="20"/>
        </w:rPr>
        <w:tab/>
      </w:r>
      <w:r>
        <w:rPr>
          <w:rFonts w:ascii="Arial" w:hAnsi="Arial"/>
          <w:b/>
          <w:sz w:val="20"/>
        </w:rPr>
        <w:t xml:space="preserve">GDPR </w:t>
      </w:r>
      <w:r>
        <w:rPr>
          <w:rFonts w:ascii="Arial" w:hAnsi="Arial"/>
          <w:sz w:val="20"/>
        </w:rPr>
        <w:t>– Regulation (EU) 2016/679 of the European Parliament and of the Council of 27 April 2016 on the protection of natural persons with regard to the processing of personal data and on free movement of such data, and repealing Directive 95/46/EC (General Data Protection Regulation);</w:t>
      </w:r>
    </w:p>
    <w:p w14:paraId="6F61D233" w14:textId="5CABCD5E" w:rsidR="00141118" w:rsidRPr="0097725F" w:rsidRDefault="00E43F01" w:rsidP="00EA3595">
      <w:pPr>
        <w:ind w:left="1134" w:hanging="357"/>
        <w:jc w:val="both"/>
        <w:rPr>
          <w:rFonts w:ascii="Arial" w:hAnsi="Arial" w:cs="Arial"/>
          <w:sz w:val="20"/>
        </w:rPr>
      </w:pPr>
      <w:bookmarkStart w:id="12" w:name="bookmark11"/>
      <w:bookmarkStart w:id="13" w:name="bookmark12"/>
      <w:r>
        <w:rPr>
          <w:rFonts w:ascii="Arial" w:hAnsi="Arial"/>
          <w:sz w:val="20"/>
        </w:rPr>
        <w:t>8)</w:t>
      </w:r>
      <w:r>
        <w:rPr>
          <w:rFonts w:ascii="Arial" w:hAnsi="Arial"/>
          <w:sz w:val="20"/>
        </w:rPr>
        <w:tab/>
      </w:r>
      <w:r>
        <w:rPr>
          <w:rFonts w:ascii="Arial" w:hAnsi="Arial"/>
          <w:b/>
          <w:sz w:val="20"/>
        </w:rPr>
        <w:t xml:space="preserve">Website </w:t>
      </w:r>
      <w:r>
        <w:rPr>
          <w:rFonts w:ascii="Arial" w:hAnsi="Arial"/>
          <w:sz w:val="20"/>
        </w:rPr>
        <w:t>– the Bank’s website: www.bnpparibas.pl;</w:t>
      </w:r>
      <w:bookmarkEnd w:id="12"/>
      <w:bookmarkEnd w:id="13"/>
    </w:p>
    <w:p w14:paraId="16C9E96A" w14:textId="77777777" w:rsidR="00141118" w:rsidRPr="0097725F" w:rsidRDefault="00E43F01" w:rsidP="00EA3595">
      <w:pPr>
        <w:ind w:left="1134" w:hanging="357"/>
        <w:jc w:val="both"/>
        <w:rPr>
          <w:rFonts w:ascii="Arial" w:hAnsi="Arial" w:cs="Arial"/>
          <w:sz w:val="20"/>
        </w:rPr>
      </w:pPr>
      <w:r>
        <w:rPr>
          <w:rFonts w:ascii="Arial" w:hAnsi="Arial"/>
          <w:sz w:val="20"/>
        </w:rPr>
        <w:t>9)</w:t>
      </w:r>
      <w:r>
        <w:rPr>
          <w:rFonts w:ascii="Arial" w:hAnsi="Arial"/>
          <w:sz w:val="20"/>
        </w:rPr>
        <w:tab/>
      </w:r>
      <w:r>
        <w:rPr>
          <w:rFonts w:ascii="Arial" w:hAnsi="Arial"/>
          <w:b/>
          <w:sz w:val="20"/>
        </w:rPr>
        <w:t xml:space="preserve">Open Banking Service </w:t>
      </w:r>
      <w:r>
        <w:rPr>
          <w:rFonts w:ascii="Arial" w:hAnsi="Arial"/>
          <w:sz w:val="20"/>
        </w:rPr>
        <w:t xml:space="preserve">(or: </w:t>
      </w:r>
      <w:r>
        <w:rPr>
          <w:rFonts w:ascii="Arial" w:hAnsi="Arial"/>
          <w:b/>
          <w:sz w:val="20"/>
        </w:rPr>
        <w:t>the Service</w:t>
      </w:r>
      <w:r>
        <w:rPr>
          <w:rFonts w:ascii="Arial" w:hAnsi="Arial"/>
          <w:sz w:val="20"/>
        </w:rPr>
        <w:t>) – a service provided by the Bank in accordance with the provisions of these Regulations and pursuant to the User’s consent;</w:t>
      </w:r>
    </w:p>
    <w:p w14:paraId="5B0C36C9" w14:textId="77777777" w:rsidR="00141118" w:rsidRPr="0097725F" w:rsidRDefault="00E43F01" w:rsidP="00EA3595">
      <w:pPr>
        <w:ind w:left="1134" w:hanging="357"/>
        <w:jc w:val="both"/>
        <w:rPr>
          <w:rFonts w:ascii="Arial" w:hAnsi="Arial" w:cs="Arial"/>
          <w:sz w:val="20"/>
        </w:rPr>
      </w:pPr>
      <w:r>
        <w:rPr>
          <w:rFonts w:ascii="Arial" w:hAnsi="Arial"/>
          <w:sz w:val="20"/>
        </w:rPr>
        <w:t>10)</w:t>
      </w:r>
      <w:r>
        <w:rPr>
          <w:rFonts w:ascii="Arial" w:hAnsi="Arial"/>
          <w:sz w:val="20"/>
        </w:rPr>
        <w:tab/>
      </w:r>
      <w:r>
        <w:rPr>
          <w:rFonts w:ascii="Arial" w:hAnsi="Arial"/>
          <w:b/>
          <w:sz w:val="20"/>
        </w:rPr>
        <w:t xml:space="preserve">Account Information Service </w:t>
      </w:r>
      <w:r>
        <w:rPr>
          <w:rFonts w:ascii="Arial" w:hAnsi="Arial"/>
          <w:sz w:val="20"/>
        </w:rPr>
        <w:t>– an online account information service provided by the Bank that consists in providing the User with information regarding the User’s Account(s) held with another Provider(s);</w:t>
      </w:r>
    </w:p>
    <w:p w14:paraId="7E9EAE75" w14:textId="77777777" w:rsidR="00141118" w:rsidRPr="0097725F" w:rsidRDefault="00E43F01" w:rsidP="00EA3595">
      <w:pPr>
        <w:ind w:left="1134" w:hanging="357"/>
        <w:jc w:val="both"/>
        <w:rPr>
          <w:rFonts w:ascii="Arial" w:hAnsi="Arial" w:cs="Arial"/>
          <w:sz w:val="20"/>
        </w:rPr>
      </w:pPr>
      <w:r>
        <w:rPr>
          <w:rFonts w:ascii="Arial" w:hAnsi="Arial"/>
          <w:sz w:val="20"/>
        </w:rPr>
        <w:t>11)</w:t>
      </w:r>
      <w:r>
        <w:rPr>
          <w:rFonts w:ascii="Arial" w:hAnsi="Arial"/>
          <w:sz w:val="20"/>
        </w:rPr>
        <w:tab/>
      </w:r>
      <w:r>
        <w:rPr>
          <w:rFonts w:ascii="Arial" w:hAnsi="Arial"/>
          <w:b/>
          <w:sz w:val="20"/>
        </w:rPr>
        <w:t xml:space="preserve">Act </w:t>
      </w:r>
      <w:r>
        <w:rPr>
          <w:rFonts w:ascii="Arial" w:hAnsi="Arial"/>
          <w:sz w:val="20"/>
        </w:rPr>
        <w:t>– the Act of 19 August 2011 on Payment Services;</w:t>
      </w:r>
    </w:p>
    <w:p w14:paraId="2897BEDC" w14:textId="77777777" w:rsidR="00141118" w:rsidRPr="0097725F" w:rsidRDefault="00E43F01" w:rsidP="00EA3595">
      <w:pPr>
        <w:ind w:left="1134" w:hanging="357"/>
        <w:jc w:val="both"/>
        <w:rPr>
          <w:rFonts w:ascii="Arial" w:hAnsi="Arial" w:cs="Arial"/>
          <w:sz w:val="20"/>
        </w:rPr>
      </w:pPr>
      <w:r>
        <w:rPr>
          <w:rFonts w:ascii="Arial" w:hAnsi="Arial"/>
          <w:sz w:val="20"/>
        </w:rPr>
        <w:t>12)</w:t>
      </w:r>
      <w:r>
        <w:rPr>
          <w:rFonts w:ascii="Arial" w:hAnsi="Arial"/>
          <w:sz w:val="20"/>
        </w:rPr>
        <w:tab/>
      </w:r>
      <w:r>
        <w:rPr>
          <w:rFonts w:ascii="Arial" w:hAnsi="Arial"/>
          <w:b/>
          <w:sz w:val="20"/>
        </w:rPr>
        <w:t xml:space="preserve">Authentication </w:t>
      </w:r>
      <w:r>
        <w:rPr>
          <w:rFonts w:ascii="Arial" w:hAnsi="Arial"/>
          <w:sz w:val="20"/>
        </w:rPr>
        <w:t>– a procedure that allows the Provider to verify the User’s identity based on the User’s authentication data (e.g. password and login) with the Provider;</w:t>
      </w:r>
    </w:p>
    <w:p w14:paraId="6081B73E" w14:textId="77777777" w:rsidR="00141118" w:rsidRPr="0097725F" w:rsidRDefault="00E43F01" w:rsidP="00EA3595">
      <w:pPr>
        <w:ind w:left="1134" w:hanging="357"/>
        <w:jc w:val="both"/>
        <w:rPr>
          <w:rFonts w:ascii="Arial" w:hAnsi="Arial" w:cs="Arial"/>
          <w:sz w:val="20"/>
        </w:rPr>
      </w:pPr>
      <w:r>
        <w:rPr>
          <w:rFonts w:ascii="Arial" w:hAnsi="Arial"/>
          <w:sz w:val="20"/>
        </w:rPr>
        <w:t>13)</w:t>
      </w:r>
      <w:r>
        <w:rPr>
          <w:rFonts w:ascii="Arial" w:hAnsi="Arial"/>
          <w:sz w:val="20"/>
        </w:rPr>
        <w:tab/>
      </w:r>
      <w:r>
        <w:rPr>
          <w:rFonts w:ascii="Arial" w:hAnsi="Arial"/>
          <w:b/>
          <w:sz w:val="20"/>
        </w:rPr>
        <w:t xml:space="preserve">User </w:t>
      </w:r>
      <w:r>
        <w:rPr>
          <w:rFonts w:ascii="Arial" w:hAnsi="Arial"/>
          <w:sz w:val="20"/>
        </w:rPr>
        <w:t>– a person using or applying to use the Open Banking Service who has active access to GOonline.</w:t>
      </w:r>
    </w:p>
    <w:p w14:paraId="4E2F676E" w14:textId="1941AA55" w:rsidR="00141118" w:rsidRPr="0097725F" w:rsidRDefault="00E43F01" w:rsidP="00EA3595">
      <w:pPr>
        <w:ind w:left="851" w:hanging="357"/>
        <w:jc w:val="both"/>
        <w:rPr>
          <w:rFonts w:ascii="Arial" w:hAnsi="Arial" w:cs="Arial"/>
          <w:sz w:val="20"/>
        </w:rPr>
      </w:pPr>
      <w:r>
        <w:rPr>
          <w:rFonts w:ascii="Arial" w:hAnsi="Arial"/>
          <w:sz w:val="20"/>
        </w:rPr>
        <w:t>2.</w:t>
      </w:r>
      <w:r>
        <w:rPr>
          <w:rFonts w:ascii="Arial" w:hAnsi="Arial"/>
          <w:sz w:val="20"/>
        </w:rPr>
        <w:tab/>
        <w:t>Capitalised terms not defined in §2 sub-para. 1 of the Regulations shall be defined in separate User agreements with the Bank governing matters relating to Online Banking.</w:t>
      </w:r>
    </w:p>
    <w:p w14:paraId="0B9FD27D" w14:textId="77777777" w:rsidR="00141118" w:rsidRPr="0097725F" w:rsidRDefault="00E43F01" w:rsidP="0097725F">
      <w:pPr>
        <w:spacing w:before="240"/>
        <w:jc w:val="both"/>
        <w:outlineLvl w:val="1"/>
        <w:rPr>
          <w:rFonts w:ascii="Arial" w:hAnsi="Arial" w:cs="Arial"/>
          <w:sz w:val="20"/>
        </w:rPr>
      </w:pPr>
      <w:bookmarkStart w:id="14" w:name="bookmark13"/>
      <w:bookmarkStart w:id="15" w:name="bookmark14"/>
      <w:r>
        <w:rPr>
          <w:rFonts w:ascii="Arial" w:hAnsi="Arial"/>
          <w:b/>
          <w:sz w:val="20"/>
        </w:rPr>
        <w:lastRenderedPageBreak/>
        <w:t>§ 3. Basic terms and conditions of using the Open Banking Service</w:t>
      </w:r>
      <w:bookmarkEnd w:id="14"/>
      <w:bookmarkEnd w:id="15"/>
    </w:p>
    <w:p w14:paraId="0D5AABA1" w14:textId="4344144D" w:rsidR="00141118" w:rsidRPr="0097725F" w:rsidRDefault="00E43F01" w:rsidP="00EA3595">
      <w:pPr>
        <w:ind w:left="851" w:hanging="357"/>
        <w:jc w:val="both"/>
        <w:rPr>
          <w:rFonts w:ascii="Arial" w:hAnsi="Arial" w:cs="Arial"/>
          <w:sz w:val="20"/>
        </w:rPr>
      </w:pPr>
      <w:r>
        <w:rPr>
          <w:rFonts w:ascii="Arial" w:hAnsi="Arial"/>
          <w:sz w:val="20"/>
        </w:rPr>
        <w:t>1</w:t>
      </w:r>
      <w:r>
        <w:rPr>
          <w:rFonts w:ascii="Arial" w:hAnsi="Arial"/>
          <w:sz w:val="20"/>
        </w:rPr>
        <w:tab/>
        <w:t>Use of the Service requires that the following conditions be met cumulatively:</w:t>
      </w:r>
    </w:p>
    <w:p w14:paraId="6A76E506" w14:textId="77777777" w:rsidR="00141118" w:rsidRPr="0097725F" w:rsidRDefault="00E43F01" w:rsidP="00EA3595">
      <w:pPr>
        <w:ind w:left="1134" w:hanging="357"/>
        <w:jc w:val="both"/>
        <w:rPr>
          <w:rFonts w:ascii="Arial" w:hAnsi="Arial" w:cs="Arial"/>
          <w:sz w:val="20"/>
        </w:rPr>
      </w:pPr>
      <w:r>
        <w:rPr>
          <w:rFonts w:ascii="Arial" w:hAnsi="Arial"/>
          <w:sz w:val="20"/>
        </w:rPr>
        <w:t>1)</w:t>
      </w:r>
      <w:r>
        <w:rPr>
          <w:rFonts w:ascii="Arial" w:hAnsi="Arial"/>
          <w:sz w:val="20"/>
        </w:rPr>
        <w:tab/>
        <w:t>having a device that allows connection to the Internet and access to a web browser that enables completion of the process of entering into a Service agreement, viewing and downloading documents;</w:t>
      </w:r>
    </w:p>
    <w:p w14:paraId="6E3D1774" w14:textId="77777777" w:rsidR="00141118" w:rsidRPr="0097725F" w:rsidRDefault="00E43F01" w:rsidP="00EA3595">
      <w:pPr>
        <w:ind w:left="1134" w:hanging="357"/>
        <w:jc w:val="both"/>
        <w:rPr>
          <w:rFonts w:ascii="Arial" w:hAnsi="Arial" w:cs="Arial"/>
          <w:sz w:val="20"/>
        </w:rPr>
      </w:pPr>
      <w:r>
        <w:rPr>
          <w:rFonts w:ascii="Arial" w:hAnsi="Arial"/>
          <w:sz w:val="20"/>
        </w:rPr>
        <w:t>2)</w:t>
      </w:r>
      <w:r>
        <w:rPr>
          <w:rFonts w:ascii="Arial" w:hAnsi="Arial"/>
          <w:sz w:val="20"/>
        </w:rPr>
        <w:tab/>
        <w:t>having active access to Online Banking;</w:t>
      </w:r>
    </w:p>
    <w:p w14:paraId="38B9BC25" w14:textId="77777777" w:rsidR="00141118" w:rsidRPr="0097725F" w:rsidRDefault="00E43F01" w:rsidP="00EA3595">
      <w:pPr>
        <w:ind w:left="1134" w:hanging="357"/>
        <w:jc w:val="both"/>
        <w:rPr>
          <w:rFonts w:ascii="Arial" w:hAnsi="Arial" w:cs="Arial"/>
          <w:sz w:val="20"/>
        </w:rPr>
      </w:pPr>
      <w:r>
        <w:rPr>
          <w:rFonts w:ascii="Arial" w:hAnsi="Arial"/>
          <w:sz w:val="20"/>
        </w:rPr>
        <w:t>3)</w:t>
      </w:r>
      <w:r>
        <w:rPr>
          <w:rFonts w:ascii="Arial" w:hAnsi="Arial"/>
          <w:sz w:val="20"/>
        </w:rPr>
        <w:tab/>
        <w:t>having access to the Account via the Provider’s online banking;</w:t>
      </w:r>
    </w:p>
    <w:p w14:paraId="4873ACC9" w14:textId="77777777" w:rsidR="00141118" w:rsidRPr="0097725F" w:rsidRDefault="00E43F01" w:rsidP="00EA3595">
      <w:pPr>
        <w:ind w:left="1134" w:hanging="357"/>
        <w:jc w:val="both"/>
        <w:rPr>
          <w:rFonts w:ascii="Arial" w:hAnsi="Arial" w:cs="Arial"/>
          <w:sz w:val="20"/>
        </w:rPr>
      </w:pPr>
      <w:r>
        <w:rPr>
          <w:rFonts w:ascii="Arial" w:hAnsi="Arial"/>
          <w:sz w:val="20"/>
        </w:rPr>
        <w:t>4)</w:t>
      </w:r>
      <w:r>
        <w:rPr>
          <w:rFonts w:ascii="Arial" w:hAnsi="Arial"/>
          <w:sz w:val="20"/>
        </w:rPr>
        <w:tab/>
        <w:t>the User’s Account must be operated by a Provider integrated with the Bank through the Provider API (the list of Providers integrated with the Bank through the Provider API may be subject to change and is displayed each time on the screen before the service is used or on the Website);</w:t>
      </w:r>
    </w:p>
    <w:p w14:paraId="18B87097" w14:textId="77777777" w:rsidR="00141118" w:rsidRPr="0097725F" w:rsidRDefault="00E43F01" w:rsidP="00EA3595">
      <w:pPr>
        <w:ind w:left="1134" w:hanging="357"/>
        <w:jc w:val="both"/>
        <w:rPr>
          <w:rFonts w:ascii="Arial" w:hAnsi="Arial" w:cs="Arial"/>
          <w:sz w:val="20"/>
        </w:rPr>
      </w:pPr>
      <w:r>
        <w:rPr>
          <w:rFonts w:ascii="Arial" w:hAnsi="Arial"/>
          <w:sz w:val="20"/>
        </w:rPr>
        <w:t>5)</w:t>
      </w:r>
      <w:r>
        <w:rPr>
          <w:rFonts w:ascii="Arial" w:hAnsi="Arial"/>
          <w:sz w:val="20"/>
        </w:rPr>
        <w:tab/>
        <w:t>the Regulations must be read and accepted;</w:t>
      </w:r>
    </w:p>
    <w:p w14:paraId="76C414F6" w14:textId="77777777" w:rsidR="00141118" w:rsidRPr="0097725F" w:rsidRDefault="00E43F01" w:rsidP="00EA3595">
      <w:pPr>
        <w:ind w:left="1134" w:hanging="357"/>
        <w:jc w:val="both"/>
        <w:rPr>
          <w:rFonts w:ascii="Arial" w:hAnsi="Arial" w:cs="Arial"/>
          <w:sz w:val="20"/>
        </w:rPr>
      </w:pPr>
      <w:r>
        <w:rPr>
          <w:rFonts w:ascii="Arial" w:hAnsi="Arial"/>
          <w:sz w:val="20"/>
        </w:rPr>
        <w:t>6)</w:t>
      </w:r>
      <w:r>
        <w:rPr>
          <w:rFonts w:ascii="Arial" w:hAnsi="Arial"/>
          <w:sz w:val="20"/>
        </w:rPr>
        <w:tab/>
        <w:t>the Authentication process must be completed as specified by the Provider, and the Account(s) to which the Service applies must be specified.</w:t>
      </w:r>
    </w:p>
    <w:p w14:paraId="35A04647" w14:textId="77777777" w:rsidR="00141118" w:rsidRPr="0097725F" w:rsidRDefault="00E43F01" w:rsidP="0010059F">
      <w:pPr>
        <w:ind w:left="851" w:hanging="357"/>
        <w:jc w:val="both"/>
        <w:rPr>
          <w:rFonts w:ascii="Arial" w:hAnsi="Arial" w:cs="Arial"/>
          <w:sz w:val="20"/>
        </w:rPr>
      </w:pPr>
      <w:r>
        <w:rPr>
          <w:rFonts w:ascii="Arial" w:hAnsi="Arial"/>
          <w:sz w:val="20"/>
        </w:rPr>
        <w:t>2.</w:t>
      </w:r>
      <w:r>
        <w:rPr>
          <w:rFonts w:ascii="Arial" w:hAnsi="Arial"/>
          <w:sz w:val="20"/>
        </w:rPr>
        <w:tab/>
        <w:t>Acceptance/Cancellation of acceptance of the Regulations shall require checking the box and approving the selection by the authorisation method defined for the User in Online Banking.</w:t>
      </w:r>
    </w:p>
    <w:p w14:paraId="60B4CF02" w14:textId="77777777" w:rsidR="00141118" w:rsidRPr="0097725F" w:rsidRDefault="00E43F01" w:rsidP="0010059F">
      <w:pPr>
        <w:ind w:left="1134" w:hanging="357"/>
        <w:jc w:val="both"/>
        <w:rPr>
          <w:rFonts w:ascii="Arial" w:hAnsi="Arial" w:cs="Arial"/>
          <w:sz w:val="20"/>
        </w:rPr>
      </w:pPr>
      <w:r>
        <w:rPr>
          <w:rFonts w:ascii="Arial" w:hAnsi="Arial"/>
          <w:sz w:val="20"/>
        </w:rPr>
        <w:t>1)</w:t>
      </w:r>
      <w:r>
        <w:rPr>
          <w:rFonts w:ascii="Arial" w:hAnsi="Arial"/>
          <w:sz w:val="20"/>
        </w:rPr>
        <w:tab/>
        <w:t>Acceptance of the Regulations shall be tantamount to the conclusion of a Service agreement to the extent specified in the consent to provision of the Service.</w:t>
      </w:r>
    </w:p>
    <w:p w14:paraId="137668EE" w14:textId="77777777" w:rsidR="00141118" w:rsidRPr="0097725F" w:rsidRDefault="00E43F01" w:rsidP="0010059F">
      <w:pPr>
        <w:ind w:left="1134" w:hanging="357"/>
        <w:jc w:val="both"/>
        <w:rPr>
          <w:rFonts w:ascii="Arial" w:hAnsi="Arial" w:cs="Arial"/>
          <w:sz w:val="20"/>
        </w:rPr>
      </w:pPr>
      <w:r>
        <w:rPr>
          <w:rFonts w:ascii="Arial" w:hAnsi="Arial"/>
          <w:sz w:val="20"/>
        </w:rPr>
        <w:t>2)</w:t>
      </w:r>
      <w:r>
        <w:rPr>
          <w:rFonts w:ascii="Arial" w:hAnsi="Arial"/>
          <w:sz w:val="20"/>
        </w:rPr>
        <w:tab/>
        <w:t>Cancellation of acceptance of the Regulations shall be tantamount to discontinuation of the Service and termination of the Service agreement.</w:t>
      </w:r>
    </w:p>
    <w:p w14:paraId="40A426D6" w14:textId="77777777" w:rsidR="00141118" w:rsidRPr="0097725F" w:rsidRDefault="00E43F01" w:rsidP="0010059F">
      <w:pPr>
        <w:ind w:left="851" w:hanging="357"/>
        <w:jc w:val="both"/>
        <w:rPr>
          <w:rFonts w:ascii="Arial" w:hAnsi="Arial" w:cs="Arial"/>
          <w:sz w:val="20"/>
        </w:rPr>
      </w:pPr>
      <w:r>
        <w:rPr>
          <w:rFonts w:ascii="Arial" w:hAnsi="Arial"/>
          <w:sz w:val="20"/>
        </w:rPr>
        <w:t>3.</w:t>
      </w:r>
      <w:r>
        <w:rPr>
          <w:rFonts w:ascii="Arial" w:hAnsi="Arial"/>
          <w:sz w:val="20"/>
        </w:rPr>
        <w:tab/>
        <w:t>In providing the Service, the Bank shall rely on the Authentication procedures provided by the Provider in accordance with an Account agreement between the User and Provider.</w:t>
      </w:r>
    </w:p>
    <w:p w14:paraId="7472B84E" w14:textId="77777777" w:rsidR="00141118" w:rsidRPr="0097725F" w:rsidRDefault="00E43F01" w:rsidP="0010059F">
      <w:pPr>
        <w:ind w:left="851" w:hanging="357"/>
        <w:jc w:val="both"/>
        <w:rPr>
          <w:rFonts w:ascii="Arial" w:hAnsi="Arial" w:cs="Arial"/>
          <w:sz w:val="20"/>
        </w:rPr>
      </w:pPr>
      <w:r>
        <w:rPr>
          <w:rFonts w:ascii="Arial" w:hAnsi="Arial"/>
          <w:sz w:val="20"/>
        </w:rPr>
        <w:t>4.</w:t>
      </w:r>
      <w:r>
        <w:rPr>
          <w:rFonts w:ascii="Arial" w:hAnsi="Arial"/>
          <w:sz w:val="20"/>
        </w:rPr>
        <w:tab/>
        <w:t>The conclusion of a Service agreement shall cause the Bank to act on the User’s behalf vis-à-vis the Providers to the extent necessary to carry out the Service.</w:t>
      </w:r>
    </w:p>
    <w:p w14:paraId="70157CFF" w14:textId="77777777" w:rsidR="00141118" w:rsidRPr="0097725F" w:rsidRDefault="00E43F01" w:rsidP="0010059F">
      <w:pPr>
        <w:ind w:left="851" w:hanging="357"/>
        <w:jc w:val="both"/>
        <w:rPr>
          <w:rFonts w:ascii="Arial" w:hAnsi="Arial" w:cs="Arial"/>
          <w:sz w:val="20"/>
        </w:rPr>
      </w:pPr>
      <w:r>
        <w:rPr>
          <w:rFonts w:ascii="Arial" w:hAnsi="Arial"/>
          <w:sz w:val="20"/>
        </w:rPr>
        <w:t>5.</w:t>
      </w:r>
      <w:r>
        <w:rPr>
          <w:rFonts w:ascii="Arial" w:hAnsi="Arial"/>
          <w:sz w:val="20"/>
        </w:rPr>
        <w:tab/>
        <w:t>The Bank shall provide the Service in accordance with applicable laws and regulations, including the Act.</w:t>
      </w:r>
    </w:p>
    <w:p w14:paraId="03693BCD" w14:textId="77777777" w:rsidR="00141118" w:rsidRPr="0097725F" w:rsidRDefault="00E43F01" w:rsidP="0010059F">
      <w:pPr>
        <w:ind w:left="851" w:hanging="357"/>
        <w:jc w:val="both"/>
        <w:rPr>
          <w:rFonts w:ascii="Arial" w:hAnsi="Arial" w:cs="Arial"/>
          <w:sz w:val="20"/>
        </w:rPr>
      </w:pPr>
      <w:r>
        <w:rPr>
          <w:rFonts w:ascii="Arial" w:hAnsi="Arial"/>
          <w:sz w:val="20"/>
        </w:rPr>
        <w:t>6.</w:t>
      </w:r>
      <w:r>
        <w:rPr>
          <w:rFonts w:ascii="Arial" w:hAnsi="Arial"/>
          <w:sz w:val="20"/>
        </w:rPr>
        <w:tab/>
        <w:t>No fee shall be charged by the Bank for use of the Service.</w:t>
      </w:r>
    </w:p>
    <w:p w14:paraId="7727D001" w14:textId="77777777" w:rsidR="00141118" w:rsidRPr="0097725F" w:rsidRDefault="00E43F01" w:rsidP="0010059F">
      <w:pPr>
        <w:ind w:left="851" w:hanging="357"/>
        <w:jc w:val="both"/>
        <w:rPr>
          <w:rFonts w:ascii="Arial" w:hAnsi="Arial" w:cs="Arial"/>
          <w:sz w:val="20"/>
        </w:rPr>
      </w:pPr>
      <w:r>
        <w:rPr>
          <w:rFonts w:ascii="Arial" w:hAnsi="Arial"/>
          <w:sz w:val="20"/>
        </w:rPr>
        <w:t>7.</w:t>
      </w:r>
      <w:r>
        <w:rPr>
          <w:rFonts w:ascii="Arial" w:hAnsi="Arial"/>
          <w:sz w:val="20"/>
        </w:rPr>
        <w:tab/>
        <w:t>The User may use the Service after logging in to Online Banking only in relation to Accounts which he/she is able to access online and which he/she is entitled to use pursuant to the User’s agreements with the Provider or declarations of the Account holder.</w:t>
      </w:r>
    </w:p>
    <w:p w14:paraId="4D63C0D5" w14:textId="77777777" w:rsidR="00141118" w:rsidRPr="0097725F" w:rsidRDefault="00E43F01" w:rsidP="0010059F">
      <w:pPr>
        <w:ind w:left="851" w:hanging="357"/>
        <w:jc w:val="both"/>
        <w:rPr>
          <w:rFonts w:ascii="Arial" w:hAnsi="Arial" w:cs="Arial"/>
          <w:sz w:val="20"/>
        </w:rPr>
      </w:pPr>
      <w:r>
        <w:rPr>
          <w:rFonts w:ascii="Arial" w:hAnsi="Arial"/>
          <w:sz w:val="20"/>
        </w:rPr>
        <w:t>8.</w:t>
      </w:r>
      <w:r>
        <w:rPr>
          <w:rFonts w:ascii="Arial" w:hAnsi="Arial"/>
          <w:sz w:val="20"/>
        </w:rPr>
        <w:tab/>
        <w:t>Termination of access to Online Banking shall be tantamount to discontinuation of the Service.</w:t>
      </w:r>
    </w:p>
    <w:p w14:paraId="06E978A2" w14:textId="77777777" w:rsidR="00141118" w:rsidRPr="0097725F" w:rsidRDefault="00E43F01" w:rsidP="0097725F">
      <w:pPr>
        <w:spacing w:before="240"/>
        <w:jc w:val="both"/>
        <w:rPr>
          <w:rFonts w:ascii="Arial" w:hAnsi="Arial" w:cs="Arial"/>
          <w:sz w:val="20"/>
        </w:rPr>
      </w:pPr>
      <w:r>
        <w:rPr>
          <w:rFonts w:ascii="Arial" w:hAnsi="Arial"/>
          <w:b/>
          <w:sz w:val="20"/>
        </w:rPr>
        <w:t>§ 4. Account Information Service</w:t>
      </w:r>
    </w:p>
    <w:p w14:paraId="45C59CBE" w14:textId="77777777" w:rsidR="00141118" w:rsidRPr="0097725F" w:rsidRDefault="00E43F01" w:rsidP="006F6EBB">
      <w:pPr>
        <w:ind w:left="851" w:hanging="357"/>
        <w:jc w:val="both"/>
        <w:rPr>
          <w:rFonts w:ascii="Arial" w:hAnsi="Arial" w:cs="Arial"/>
          <w:sz w:val="20"/>
        </w:rPr>
      </w:pPr>
      <w:r>
        <w:rPr>
          <w:rFonts w:ascii="Arial" w:hAnsi="Arial"/>
          <w:sz w:val="20"/>
        </w:rPr>
        <w:t>1.</w:t>
      </w:r>
      <w:r>
        <w:rPr>
          <w:rFonts w:ascii="Arial" w:hAnsi="Arial"/>
          <w:sz w:val="20"/>
        </w:rPr>
        <w:tab/>
        <w:t>Upon acceptance of the Regulations and expression of consent to the provision of the Account Information Service, the Bank shall request access to the designated Accounts operated by the Provider(s) through the Provider API and inform the Provider about the User’s consent to the provision of that Service.</w:t>
      </w:r>
    </w:p>
    <w:p w14:paraId="491B0036" w14:textId="77777777" w:rsidR="00141118" w:rsidRPr="0097725F" w:rsidRDefault="00E43F01" w:rsidP="006F6EBB">
      <w:pPr>
        <w:ind w:left="851" w:hanging="357"/>
        <w:jc w:val="both"/>
        <w:rPr>
          <w:rFonts w:ascii="Arial" w:hAnsi="Arial" w:cs="Arial"/>
          <w:sz w:val="20"/>
        </w:rPr>
      </w:pPr>
      <w:r>
        <w:rPr>
          <w:rFonts w:ascii="Arial" w:hAnsi="Arial"/>
          <w:sz w:val="20"/>
        </w:rPr>
        <w:t>2.</w:t>
      </w:r>
      <w:r>
        <w:rPr>
          <w:rFonts w:ascii="Arial" w:hAnsi="Arial"/>
          <w:sz w:val="20"/>
        </w:rPr>
        <w:tab/>
        <w:t>As part of the Account Information Service, the Bank shall obtain information from the Provider(s) that may include the following:</w:t>
      </w:r>
    </w:p>
    <w:p w14:paraId="2BE3F3A1" w14:textId="7198036B" w:rsidR="00141118" w:rsidRPr="0097725F" w:rsidRDefault="00E43F01" w:rsidP="006F6EBB">
      <w:pPr>
        <w:ind w:left="1134" w:hanging="357"/>
        <w:jc w:val="both"/>
        <w:rPr>
          <w:rFonts w:ascii="Arial" w:hAnsi="Arial" w:cs="Arial"/>
          <w:sz w:val="20"/>
        </w:rPr>
      </w:pPr>
      <w:r>
        <w:rPr>
          <w:rFonts w:ascii="Arial" w:hAnsi="Arial"/>
          <w:sz w:val="20"/>
        </w:rPr>
        <w:t>1)</w:t>
      </w:r>
      <w:r>
        <w:rPr>
          <w:rFonts w:ascii="Arial" w:hAnsi="Arial"/>
          <w:sz w:val="20"/>
        </w:rPr>
        <w:tab/>
        <w:t>details of the Account(s) (e.g. number, type, name, currency, balance),</w:t>
      </w:r>
    </w:p>
    <w:p w14:paraId="6306436C" w14:textId="6A3E7956" w:rsidR="00141118" w:rsidRPr="0097725F" w:rsidRDefault="00E43F01" w:rsidP="006F6EBB">
      <w:pPr>
        <w:ind w:left="1134" w:hanging="357"/>
        <w:jc w:val="both"/>
        <w:rPr>
          <w:rFonts w:ascii="Arial" w:hAnsi="Arial" w:cs="Arial"/>
          <w:sz w:val="20"/>
        </w:rPr>
      </w:pPr>
      <w:r>
        <w:rPr>
          <w:rFonts w:ascii="Arial" w:hAnsi="Arial"/>
          <w:sz w:val="20"/>
        </w:rPr>
        <w:t>2)</w:t>
      </w:r>
      <w:r>
        <w:rPr>
          <w:rFonts w:ascii="Arial" w:hAnsi="Arial"/>
          <w:sz w:val="20"/>
        </w:rPr>
        <w:tab/>
        <w:t>details of the User who is the holder or joint holder of the Account(s) (e.g. first and family names, name, ownership status, address, registered office),</w:t>
      </w:r>
    </w:p>
    <w:p w14:paraId="02558192" w14:textId="77777777" w:rsidR="00141118" w:rsidRPr="0097725F" w:rsidRDefault="00E43F01" w:rsidP="006F6EBB">
      <w:pPr>
        <w:ind w:left="1134" w:hanging="357"/>
        <w:jc w:val="both"/>
        <w:rPr>
          <w:rFonts w:ascii="Arial" w:hAnsi="Arial" w:cs="Arial"/>
          <w:sz w:val="20"/>
        </w:rPr>
      </w:pPr>
      <w:r>
        <w:rPr>
          <w:rFonts w:ascii="Arial" w:hAnsi="Arial"/>
          <w:sz w:val="20"/>
        </w:rPr>
        <w:t>3)</w:t>
      </w:r>
      <w:r>
        <w:rPr>
          <w:rFonts w:ascii="Arial" w:hAnsi="Arial"/>
          <w:sz w:val="20"/>
        </w:rPr>
        <w:tab/>
        <w:t>transaction history of the designated Account(s) (e.g. amount, currency, title, beneficiary’s details, payer’s details, execution date, posting date).</w:t>
      </w:r>
    </w:p>
    <w:p w14:paraId="255870C4" w14:textId="77777777" w:rsidR="00141118" w:rsidRPr="0097725F" w:rsidRDefault="00E43F01" w:rsidP="006F6EBB">
      <w:pPr>
        <w:ind w:left="851" w:hanging="357"/>
        <w:jc w:val="both"/>
        <w:rPr>
          <w:rFonts w:ascii="Arial" w:hAnsi="Arial" w:cs="Arial"/>
          <w:sz w:val="20"/>
        </w:rPr>
      </w:pPr>
      <w:r>
        <w:rPr>
          <w:rFonts w:ascii="Arial" w:hAnsi="Arial"/>
          <w:sz w:val="20"/>
        </w:rPr>
        <w:t>3.</w:t>
      </w:r>
      <w:r>
        <w:rPr>
          <w:rFonts w:ascii="Arial" w:hAnsi="Arial"/>
          <w:sz w:val="20"/>
        </w:rPr>
        <w:tab/>
        <w:t xml:space="preserve">If the Provider refuses to provide the Bank with information about the User’s </w:t>
      </w:r>
      <w:r>
        <w:rPr>
          <w:rFonts w:ascii="Arial" w:hAnsi="Arial"/>
          <w:sz w:val="20"/>
        </w:rPr>
        <w:lastRenderedPageBreak/>
        <w:t>Account(s), it shall be the Provider’s responsibility to inform the User of the refusal to provide the aforementioned information together with the possible reasons.</w:t>
      </w:r>
    </w:p>
    <w:p w14:paraId="4CEAE7EC" w14:textId="77777777" w:rsidR="00141118" w:rsidRPr="0097725F" w:rsidRDefault="00E43F01" w:rsidP="006F6EBB">
      <w:pPr>
        <w:ind w:left="851" w:hanging="357"/>
        <w:jc w:val="both"/>
        <w:rPr>
          <w:rFonts w:ascii="Arial" w:hAnsi="Arial" w:cs="Arial"/>
          <w:sz w:val="20"/>
        </w:rPr>
      </w:pPr>
      <w:r>
        <w:rPr>
          <w:rFonts w:ascii="Arial" w:hAnsi="Arial"/>
          <w:sz w:val="20"/>
        </w:rPr>
        <w:t>4.</w:t>
      </w:r>
      <w:r>
        <w:rPr>
          <w:rFonts w:ascii="Arial" w:hAnsi="Arial"/>
          <w:sz w:val="20"/>
        </w:rPr>
        <w:tab/>
        <w:t>In performing the Account Information Service, the Bank shall retrieve information about at least one User Account operated by the Provider.</w:t>
      </w:r>
    </w:p>
    <w:p w14:paraId="6AD0159C" w14:textId="77777777" w:rsidR="00141118" w:rsidRPr="0097725F" w:rsidRDefault="00E43F01" w:rsidP="006F6EBB">
      <w:pPr>
        <w:ind w:left="851" w:hanging="357"/>
        <w:jc w:val="both"/>
        <w:rPr>
          <w:rFonts w:ascii="Arial" w:hAnsi="Arial" w:cs="Arial"/>
          <w:sz w:val="20"/>
        </w:rPr>
      </w:pPr>
      <w:r>
        <w:rPr>
          <w:rFonts w:ascii="Arial" w:hAnsi="Arial"/>
          <w:sz w:val="20"/>
        </w:rPr>
        <w:t>5.</w:t>
      </w:r>
      <w:r>
        <w:rPr>
          <w:rFonts w:ascii="Arial" w:hAnsi="Arial"/>
          <w:sz w:val="20"/>
        </w:rPr>
        <w:tab/>
        <w:t>The User shall agree to the Account Information Service for a period of 90 days. The Customer’s consent shall be required for any further use of the Account Information Service.</w:t>
      </w:r>
    </w:p>
    <w:p w14:paraId="4BD9E972" w14:textId="77777777" w:rsidR="00141118" w:rsidRPr="0097725F" w:rsidRDefault="00E43F01" w:rsidP="006F6EBB">
      <w:pPr>
        <w:ind w:left="851" w:hanging="357"/>
        <w:jc w:val="both"/>
        <w:rPr>
          <w:rFonts w:ascii="Arial" w:hAnsi="Arial" w:cs="Arial"/>
          <w:sz w:val="20"/>
        </w:rPr>
      </w:pPr>
      <w:r>
        <w:rPr>
          <w:rFonts w:ascii="Arial" w:hAnsi="Arial"/>
          <w:sz w:val="20"/>
        </w:rPr>
        <w:t>6.</w:t>
      </w:r>
      <w:r>
        <w:rPr>
          <w:rFonts w:ascii="Arial" w:hAnsi="Arial"/>
          <w:sz w:val="20"/>
        </w:rPr>
        <w:tab/>
        <w:t>In connection with the Bank’s provision of the Account Information Service to the User, the Bank shall retrieve information about the designated Accounts and related payment history for a full 90-day period. If the Provider does not make the data available for the indicated period, the Bank shall retrieve the data for the longest possible period made available by the Provider.</w:t>
      </w:r>
    </w:p>
    <w:p w14:paraId="01DDAA49" w14:textId="77777777" w:rsidR="00141118" w:rsidRPr="0097725F" w:rsidRDefault="00E43F01" w:rsidP="006F6EBB">
      <w:pPr>
        <w:ind w:left="851" w:hanging="357"/>
        <w:jc w:val="both"/>
        <w:rPr>
          <w:rFonts w:ascii="Arial" w:hAnsi="Arial" w:cs="Arial"/>
          <w:sz w:val="20"/>
        </w:rPr>
      </w:pPr>
      <w:r>
        <w:rPr>
          <w:rFonts w:ascii="Arial" w:hAnsi="Arial"/>
          <w:sz w:val="20"/>
        </w:rPr>
        <w:t>7.</w:t>
      </w:r>
      <w:r>
        <w:rPr>
          <w:rFonts w:ascii="Arial" w:hAnsi="Arial"/>
          <w:sz w:val="20"/>
        </w:rPr>
        <w:tab/>
        <w:t>In performing the Account Information Service, the Bank may, on the basis of the User’s valid consent, without having to obtain the User’s consent to the retrieval of Account information on a case-by-case basis, retrieve data on the User’s Account operated by the Provider no more than four times in a 24-hour period and for a period not exceeding 90 days from the date of consent.</w:t>
      </w:r>
    </w:p>
    <w:p w14:paraId="2FDA6D44" w14:textId="77777777" w:rsidR="00141118" w:rsidRPr="0097725F" w:rsidRDefault="00E43F01" w:rsidP="006F6EBB">
      <w:pPr>
        <w:ind w:left="851" w:hanging="357"/>
        <w:jc w:val="both"/>
        <w:rPr>
          <w:rFonts w:ascii="Arial" w:hAnsi="Arial" w:cs="Arial"/>
          <w:sz w:val="20"/>
        </w:rPr>
      </w:pPr>
      <w:r>
        <w:rPr>
          <w:rFonts w:ascii="Arial" w:hAnsi="Arial"/>
          <w:sz w:val="20"/>
        </w:rPr>
        <w:t>8.</w:t>
      </w:r>
      <w:r>
        <w:rPr>
          <w:rFonts w:ascii="Arial" w:hAnsi="Arial"/>
          <w:sz w:val="20"/>
        </w:rPr>
        <w:tab/>
        <w:t>The Bank shall send a demand to the Provider to update information about the Account(s) covered by the User’s consent pursuant to an instruction separately submitted by the User.</w:t>
      </w:r>
    </w:p>
    <w:p w14:paraId="699E8CC4" w14:textId="77777777" w:rsidR="00141118" w:rsidRPr="0097725F" w:rsidRDefault="00E43F01" w:rsidP="006F6EBB">
      <w:pPr>
        <w:ind w:left="851" w:hanging="357"/>
        <w:jc w:val="both"/>
        <w:rPr>
          <w:rFonts w:ascii="Arial" w:hAnsi="Arial" w:cs="Arial"/>
          <w:sz w:val="20"/>
        </w:rPr>
      </w:pPr>
      <w:r>
        <w:rPr>
          <w:rFonts w:ascii="Arial" w:hAnsi="Arial"/>
          <w:sz w:val="20"/>
        </w:rPr>
        <w:t>9.</w:t>
      </w:r>
      <w:r>
        <w:rPr>
          <w:rFonts w:ascii="Arial" w:hAnsi="Arial"/>
          <w:sz w:val="20"/>
        </w:rPr>
        <w:tab/>
        <w:t>In cases governed by the provisions of the Act and pursuant to the provisions of the agreement between the User and the Provider, another expression of consent, including the completion of Authentication, may be required for continued provision of the Account Information Service in accordance with the Provider’s requirements.</w:t>
      </w:r>
    </w:p>
    <w:p w14:paraId="028B1B7D" w14:textId="77777777" w:rsidR="00141118" w:rsidRPr="0097725F" w:rsidRDefault="00E43F01" w:rsidP="006F6EBB">
      <w:pPr>
        <w:ind w:left="851" w:hanging="357"/>
        <w:jc w:val="both"/>
        <w:rPr>
          <w:rFonts w:ascii="Arial" w:hAnsi="Arial" w:cs="Arial"/>
          <w:sz w:val="20"/>
        </w:rPr>
      </w:pPr>
      <w:r>
        <w:rPr>
          <w:rFonts w:ascii="Arial" w:hAnsi="Arial"/>
          <w:sz w:val="20"/>
        </w:rPr>
        <w:t>10.</w:t>
      </w:r>
      <w:r>
        <w:rPr>
          <w:rFonts w:ascii="Arial" w:hAnsi="Arial"/>
          <w:sz w:val="20"/>
        </w:rPr>
        <w:tab/>
        <w:t>The User’s consent to the provision of the Account Information Service in relation to the respective Providers may be withdrawn by the User at any time via Online Banking.</w:t>
      </w:r>
    </w:p>
    <w:p w14:paraId="2DAA4D8C" w14:textId="77777777" w:rsidR="00141118" w:rsidRPr="0097725F" w:rsidRDefault="00E43F01" w:rsidP="006F6EBB">
      <w:pPr>
        <w:ind w:left="851" w:hanging="357"/>
        <w:jc w:val="both"/>
        <w:rPr>
          <w:rFonts w:ascii="Arial" w:hAnsi="Arial" w:cs="Arial"/>
          <w:sz w:val="20"/>
        </w:rPr>
      </w:pPr>
      <w:r>
        <w:rPr>
          <w:rFonts w:ascii="Arial" w:hAnsi="Arial"/>
          <w:sz w:val="20"/>
        </w:rPr>
        <w:t>11.</w:t>
      </w:r>
      <w:r>
        <w:rPr>
          <w:rFonts w:ascii="Arial" w:hAnsi="Arial"/>
          <w:sz w:val="20"/>
        </w:rPr>
        <w:tab/>
        <w:t>Consent to the provision of the Account Information Service shall be expressed with respect to a single Provider operating the Account(s) from whom the User wishes to obtain information. No less frequently than every 90 days from the addition of an Account, the Bank may request renewal of access to Accounts covered by the Account Information Service with that Provider.</w:t>
      </w:r>
    </w:p>
    <w:p w14:paraId="03094543" w14:textId="77777777" w:rsidR="00141118" w:rsidRPr="0097725F" w:rsidRDefault="00E43F01" w:rsidP="006F6EBB">
      <w:pPr>
        <w:ind w:left="851" w:hanging="357"/>
        <w:jc w:val="both"/>
        <w:rPr>
          <w:rFonts w:ascii="Arial" w:hAnsi="Arial" w:cs="Arial"/>
          <w:sz w:val="20"/>
        </w:rPr>
      </w:pPr>
      <w:r>
        <w:rPr>
          <w:rFonts w:ascii="Arial" w:hAnsi="Arial"/>
          <w:sz w:val="20"/>
        </w:rPr>
        <w:t>12.</w:t>
      </w:r>
      <w:r>
        <w:rPr>
          <w:rFonts w:ascii="Arial" w:hAnsi="Arial"/>
          <w:sz w:val="20"/>
        </w:rPr>
        <w:tab/>
        <w:t>The expression/renewal of consent for the Account Information Service during the term of the Service agreement shall not require renewed acceptance of the Regulations.</w:t>
      </w:r>
    </w:p>
    <w:p w14:paraId="15B2BBC9" w14:textId="77777777" w:rsidR="00141118" w:rsidRPr="0097725F" w:rsidRDefault="00E43F01" w:rsidP="006F6EBB">
      <w:pPr>
        <w:ind w:left="851" w:hanging="357"/>
        <w:jc w:val="both"/>
        <w:rPr>
          <w:rFonts w:ascii="Arial" w:hAnsi="Arial" w:cs="Arial"/>
          <w:sz w:val="20"/>
        </w:rPr>
      </w:pPr>
      <w:r>
        <w:rPr>
          <w:rFonts w:ascii="Arial" w:hAnsi="Arial"/>
          <w:sz w:val="20"/>
        </w:rPr>
        <w:t>13.</w:t>
      </w:r>
      <w:r>
        <w:rPr>
          <w:rFonts w:ascii="Arial" w:hAnsi="Arial"/>
          <w:sz w:val="20"/>
        </w:rPr>
        <w:tab/>
        <w:t>Account information obtained as part of the Account Information Service provided by the Bank shall be available through Online Banking.</w:t>
      </w:r>
    </w:p>
    <w:p w14:paraId="04DADA74" w14:textId="77777777" w:rsidR="00141118" w:rsidRPr="0097725F" w:rsidRDefault="00E43F01" w:rsidP="006F6EBB">
      <w:pPr>
        <w:ind w:left="851" w:hanging="357"/>
        <w:jc w:val="both"/>
        <w:rPr>
          <w:rFonts w:ascii="Arial" w:hAnsi="Arial" w:cs="Arial"/>
          <w:sz w:val="20"/>
        </w:rPr>
      </w:pPr>
      <w:r>
        <w:rPr>
          <w:rFonts w:ascii="Arial" w:hAnsi="Arial"/>
          <w:sz w:val="20"/>
        </w:rPr>
        <w:t>14.</w:t>
      </w:r>
      <w:r>
        <w:rPr>
          <w:rFonts w:ascii="Arial" w:hAnsi="Arial"/>
          <w:sz w:val="20"/>
        </w:rPr>
        <w:tab/>
        <w:t>Withdrawal of consent to the provision of the Account Information Service shall cause the Bank to cease to retrieve information covered by consent regarding the User’s Accounts with the respective Provider.</w:t>
      </w:r>
    </w:p>
    <w:p w14:paraId="5AFB42BF" w14:textId="77777777" w:rsidR="00141118" w:rsidRPr="0097725F" w:rsidRDefault="00E43F01" w:rsidP="006F6EBB">
      <w:pPr>
        <w:ind w:left="851" w:hanging="357"/>
        <w:jc w:val="both"/>
        <w:rPr>
          <w:rFonts w:ascii="Arial" w:hAnsi="Arial" w:cs="Arial"/>
          <w:sz w:val="20"/>
        </w:rPr>
      </w:pPr>
      <w:r>
        <w:rPr>
          <w:rFonts w:ascii="Arial" w:hAnsi="Arial"/>
          <w:sz w:val="20"/>
        </w:rPr>
        <w:t>15.</w:t>
      </w:r>
      <w:r>
        <w:rPr>
          <w:rFonts w:ascii="Arial" w:hAnsi="Arial"/>
          <w:sz w:val="20"/>
        </w:rPr>
        <w:tab/>
        <w:t>The Bank may process data obtained in the performance of the Service for the purposes of the User’s use of other Bank products in accordance with the Bank’s rules for providing other services, after the User has given separate consent to do so.</w:t>
      </w:r>
    </w:p>
    <w:p w14:paraId="743C7279" w14:textId="77777777" w:rsidR="00141118" w:rsidRPr="0097725F" w:rsidRDefault="00E43F01" w:rsidP="0097725F">
      <w:pPr>
        <w:spacing w:before="240"/>
        <w:jc w:val="both"/>
        <w:outlineLvl w:val="1"/>
        <w:rPr>
          <w:rFonts w:ascii="Arial" w:hAnsi="Arial" w:cs="Arial"/>
          <w:sz w:val="20"/>
        </w:rPr>
      </w:pPr>
      <w:bookmarkStart w:id="16" w:name="bookmark15"/>
      <w:bookmarkStart w:id="17" w:name="bookmark16"/>
      <w:r>
        <w:rPr>
          <w:rFonts w:ascii="Arial" w:hAnsi="Arial"/>
          <w:b/>
          <w:sz w:val="20"/>
        </w:rPr>
        <w:t>§ 5. Personal data</w:t>
      </w:r>
      <w:bookmarkEnd w:id="16"/>
      <w:bookmarkEnd w:id="17"/>
    </w:p>
    <w:p w14:paraId="4E008B09" w14:textId="7BB6D96E" w:rsidR="00141118" w:rsidRPr="0097725F" w:rsidRDefault="00E43F01" w:rsidP="0097725F">
      <w:pPr>
        <w:spacing w:before="240"/>
        <w:jc w:val="both"/>
        <w:rPr>
          <w:rFonts w:ascii="Arial" w:hAnsi="Arial" w:cs="Arial"/>
          <w:sz w:val="20"/>
        </w:rPr>
      </w:pPr>
      <w:r>
        <w:rPr>
          <w:rFonts w:ascii="Arial" w:hAnsi="Arial"/>
          <w:sz w:val="20"/>
        </w:rPr>
        <w:t xml:space="preserve">The User’s personal data obtained by the Bank in connection with the provision of the Service shall be processed by the Bank for the purpose of performing the Service. The data shall be processed in accordance with the GDPR in the manner specified in the </w:t>
      </w:r>
      <w:r>
        <w:rPr>
          <w:rFonts w:ascii="Arial" w:hAnsi="Arial"/>
          <w:sz w:val="20"/>
        </w:rPr>
        <w:lastRenderedPageBreak/>
        <w:t>information clause of BNP Paribas Bank Polska S.A. available at https://www.bnpparibas.pl/repozytorium/rodo.</w:t>
      </w:r>
    </w:p>
    <w:p w14:paraId="05E2B483" w14:textId="77777777" w:rsidR="00141118" w:rsidRPr="0097725F" w:rsidRDefault="00E43F01" w:rsidP="0097725F">
      <w:pPr>
        <w:spacing w:before="240"/>
        <w:jc w:val="both"/>
        <w:outlineLvl w:val="1"/>
        <w:rPr>
          <w:rFonts w:ascii="Arial" w:hAnsi="Arial" w:cs="Arial"/>
          <w:sz w:val="20"/>
        </w:rPr>
      </w:pPr>
      <w:bookmarkStart w:id="18" w:name="bookmark17"/>
      <w:bookmarkStart w:id="19" w:name="bookmark18"/>
      <w:r>
        <w:rPr>
          <w:rFonts w:ascii="Arial" w:hAnsi="Arial"/>
          <w:b/>
          <w:sz w:val="20"/>
        </w:rPr>
        <w:t>§ 6 Right of withdrawal</w:t>
      </w:r>
      <w:bookmarkEnd w:id="18"/>
      <w:bookmarkEnd w:id="19"/>
    </w:p>
    <w:p w14:paraId="6533A9B4" w14:textId="77777777" w:rsidR="00141118" w:rsidRPr="0097725F" w:rsidRDefault="00E43F01" w:rsidP="0097725F">
      <w:pPr>
        <w:spacing w:before="240"/>
        <w:jc w:val="both"/>
        <w:rPr>
          <w:rFonts w:ascii="Arial" w:hAnsi="Arial" w:cs="Arial"/>
          <w:sz w:val="20"/>
        </w:rPr>
      </w:pPr>
      <w:r>
        <w:rPr>
          <w:rFonts w:ascii="Arial" w:hAnsi="Arial"/>
          <w:sz w:val="20"/>
        </w:rPr>
        <w:t>A User who is a consumer has the right to withdraw from an agreement covered by these Regulations, concluded remotely, without giving any reason, within 14 days from the date of its conclusion (acceptance of the Regulations), by submitting a declaration of withdrawal in writing. The deadline shall be considered to have been met if the declaration is sent to the Bank before its expiration. The User shall not bear any cost of withdrawal.</w:t>
      </w:r>
    </w:p>
    <w:p w14:paraId="0A024D5D" w14:textId="77777777" w:rsidR="00141118" w:rsidRPr="0097725F" w:rsidRDefault="00E43F01" w:rsidP="0039597C">
      <w:pPr>
        <w:jc w:val="both"/>
        <w:rPr>
          <w:rFonts w:ascii="Arial" w:hAnsi="Arial" w:cs="Arial"/>
          <w:sz w:val="20"/>
        </w:rPr>
      </w:pPr>
      <w:r>
        <w:rPr>
          <w:rFonts w:ascii="Arial" w:hAnsi="Arial"/>
          <w:sz w:val="20"/>
        </w:rPr>
        <w:t>A specimen declaration of withdrawal is enclosed as Appendix No. 1 to the Regulations.</w:t>
      </w:r>
    </w:p>
    <w:p w14:paraId="155E9CA3" w14:textId="77777777" w:rsidR="00141118" w:rsidRPr="0097725F" w:rsidRDefault="00E43F01" w:rsidP="0097725F">
      <w:pPr>
        <w:spacing w:before="240"/>
        <w:jc w:val="both"/>
        <w:outlineLvl w:val="1"/>
        <w:rPr>
          <w:rFonts w:ascii="Arial" w:hAnsi="Arial" w:cs="Arial"/>
          <w:sz w:val="20"/>
        </w:rPr>
      </w:pPr>
      <w:bookmarkStart w:id="20" w:name="bookmark19"/>
      <w:bookmarkStart w:id="21" w:name="bookmark20"/>
      <w:r>
        <w:rPr>
          <w:rFonts w:ascii="Arial" w:hAnsi="Arial"/>
          <w:b/>
          <w:sz w:val="20"/>
        </w:rPr>
        <w:t>§ 7. Security and responsibilities of the parties</w:t>
      </w:r>
      <w:bookmarkEnd w:id="20"/>
      <w:bookmarkEnd w:id="21"/>
    </w:p>
    <w:p w14:paraId="69ABE75D" w14:textId="77777777" w:rsidR="00141118" w:rsidRPr="0097725F" w:rsidRDefault="00E43F01" w:rsidP="000E0514">
      <w:pPr>
        <w:ind w:left="851" w:hanging="357"/>
        <w:jc w:val="both"/>
        <w:rPr>
          <w:rFonts w:ascii="Arial" w:hAnsi="Arial" w:cs="Arial"/>
          <w:sz w:val="20"/>
        </w:rPr>
      </w:pPr>
      <w:r>
        <w:rPr>
          <w:rFonts w:ascii="Arial" w:hAnsi="Arial"/>
          <w:sz w:val="20"/>
        </w:rPr>
        <w:t>1.</w:t>
      </w:r>
      <w:r>
        <w:rPr>
          <w:rFonts w:ascii="Arial" w:hAnsi="Arial"/>
          <w:sz w:val="20"/>
        </w:rPr>
        <w:tab/>
        <w:t>The Bank shall provide the Service using the data obtained from Providers.</w:t>
      </w:r>
    </w:p>
    <w:p w14:paraId="02D7C5F0" w14:textId="77777777" w:rsidR="00141118" w:rsidRPr="0097725F" w:rsidRDefault="00E43F01" w:rsidP="000E0514">
      <w:pPr>
        <w:ind w:left="851" w:hanging="357"/>
        <w:jc w:val="both"/>
        <w:rPr>
          <w:rFonts w:ascii="Arial" w:hAnsi="Arial" w:cs="Arial"/>
          <w:sz w:val="20"/>
        </w:rPr>
      </w:pPr>
      <w:r>
        <w:rPr>
          <w:rFonts w:ascii="Arial" w:hAnsi="Arial"/>
          <w:sz w:val="20"/>
        </w:rPr>
        <w:t>2.</w:t>
      </w:r>
      <w:r>
        <w:rPr>
          <w:rFonts w:ascii="Arial" w:hAnsi="Arial"/>
          <w:sz w:val="20"/>
        </w:rPr>
        <w:tab/>
        <w:t>The Bank shall be liable to the User for failure to perform or improper performance of the Service specified in these Regulations. This liability shall be excluded in the event of force majeure or if the non-performance or improper performance of the Service results from provisions of the law.</w:t>
      </w:r>
    </w:p>
    <w:p w14:paraId="2AD131ED" w14:textId="77777777" w:rsidR="00141118" w:rsidRPr="0097725F" w:rsidRDefault="00E43F01" w:rsidP="000E0514">
      <w:pPr>
        <w:ind w:left="851" w:hanging="357"/>
        <w:jc w:val="both"/>
        <w:rPr>
          <w:rFonts w:ascii="Arial" w:hAnsi="Arial" w:cs="Arial"/>
          <w:sz w:val="20"/>
        </w:rPr>
      </w:pPr>
      <w:r>
        <w:rPr>
          <w:rFonts w:ascii="Arial" w:hAnsi="Arial"/>
          <w:sz w:val="20"/>
        </w:rPr>
        <w:t>3.</w:t>
      </w:r>
      <w:r>
        <w:rPr>
          <w:rFonts w:ascii="Arial" w:hAnsi="Arial"/>
          <w:sz w:val="20"/>
        </w:rPr>
        <w:tab/>
        <w:t>The User shall bear the cost of Internet connection and data transmission.</w:t>
      </w:r>
    </w:p>
    <w:p w14:paraId="36750B3F" w14:textId="77777777" w:rsidR="00141118" w:rsidRPr="0097725F" w:rsidRDefault="00E43F01" w:rsidP="000E0514">
      <w:pPr>
        <w:ind w:left="851" w:hanging="357"/>
        <w:jc w:val="both"/>
        <w:rPr>
          <w:rFonts w:ascii="Arial" w:hAnsi="Arial" w:cs="Arial"/>
          <w:sz w:val="20"/>
        </w:rPr>
      </w:pPr>
      <w:r>
        <w:rPr>
          <w:rFonts w:ascii="Arial" w:hAnsi="Arial"/>
          <w:sz w:val="20"/>
        </w:rPr>
        <w:t>4.</w:t>
      </w:r>
      <w:r>
        <w:rPr>
          <w:rFonts w:ascii="Arial" w:hAnsi="Arial"/>
          <w:sz w:val="20"/>
        </w:rPr>
        <w:tab/>
        <w:t>Use of Online Banking requires a device with Internet access.</w:t>
      </w:r>
    </w:p>
    <w:p w14:paraId="433D3891" w14:textId="77777777" w:rsidR="00141118" w:rsidRPr="0097725F" w:rsidRDefault="00E43F01" w:rsidP="000E0514">
      <w:pPr>
        <w:ind w:left="851" w:hanging="357"/>
        <w:jc w:val="both"/>
        <w:rPr>
          <w:rFonts w:ascii="Arial" w:hAnsi="Arial" w:cs="Arial"/>
          <w:sz w:val="20"/>
        </w:rPr>
      </w:pPr>
      <w:r>
        <w:rPr>
          <w:rFonts w:ascii="Arial" w:hAnsi="Arial"/>
          <w:sz w:val="20"/>
        </w:rPr>
        <w:t>5.</w:t>
      </w:r>
      <w:r>
        <w:rPr>
          <w:rFonts w:ascii="Arial" w:hAnsi="Arial"/>
          <w:sz w:val="20"/>
        </w:rPr>
        <w:tab/>
        <w:t>For the proper operation of Online Banking, it is necessary to enable the mechanism of acceptance of cookie files in the Internet browser; the files are IT data stored in the User’s terminal device to ensure safe and effective use of Online Banking sites, including the ability to log into Online Banking and the appropriate personalisation of documents and information displayed in Online Banking.</w:t>
      </w:r>
    </w:p>
    <w:p w14:paraId="1EAFF3DC" w14:textId="77777777" w:rsidR="00141118" w:rsidRPr="0097725F" w:rsidRDefault="00E43F01" w:rsidP="000E0514">
      <w:pPr>
        <w:ind w:left="851" w:hanging="357"/>
        <w:jc w:val="both"/>
        <w:rPr>
          <w:rFonts w:ascii="Arial" w:hAnsi="Arial" w:cs="Arial"/>
          <w:sz w:val="20"/>
        </w:rPr>
      </w:pPr>
      <w:r>
        <w:rPr>
          <w:rFonts w:ascii="Arial" w:hAnsi="Arial"/>
          <w:sz w:val="20"/>
        </w:rPr>
        <w:t>6.</w:t>
      </w:r>
      <w:r>
        <w:rPr>
          <w:rFonts w:ascii="Arial" w:hAnsi="Arial"/>
          <w:sz w:val="20"/>
        </w:rPr>
        <w:tab/>
        <w:t>The placement of an order/instruction and/or the expression of consent via Online Banking shall require filling in the data, entering the SMS Code or using Mobile Authorisation and approving the order/instruction/consent.</w:t>
      </w:r>
    </w:p>
    <w:p w14:paraId="5F2B08F3" w14:textId="77777777" w:rsidR="00141118" w:rsidRPr="0097725F" w:rsidRDefault="00E43F01" w:rsidP="000E0514">
      <w:pPr>
        <w:ind w:left="851" w:hanging="357"/>
        <w:jc w:val="both"/>
        <w:rPr>
          <w:rFonts w:ascii="Arial" w:hAnsi="Arial" w:cs="Arial"/>
          <w:sz w:val="20"/>
        </w:rPr>
      </w:pPr>
      <w:r>
        <w:rPr>
          <w:rFonts w:ascii="Arial" w:hAnsi="Arial"/>
          <w:sz w:val="20"/>
        </w:rPr>
        <w:t>7.</w:t>
      </w:r>
      <w:r>
        <w:rPr>
          <w:rFonts w:ascii="Arial" w:hAnsi="Arial"/>
          <w:sz w:val="20"/>
        </w:rPr>
        <w:tab/>
        <w:t>The User shall properly secure the device through which he/she accesses Online Banking, including by installing legitimate and up-to-date anti-virus software and running it each time Online Banking is used. Note: No illegal or unknown software, including software received via email or downloaded from the web, may be installed in the computer. The Bank never requires disclosure of passwords or installation of additional software.</w:t>
      </w:r>
    </w:p>
    <w:p w14:paraId="11033DCD" w14:textId="77777777" w:rsidR="00141118" w:rsidRPr="0097725F" w:rsidRDefault="00E43F01" w:rsidP="000E0514">
      <w:pPr>
        <w:ind w:left="851" w:hanging="357"/>
        <w:jc w:val="both"/>
        <w:rPr>
          <w:rFonts w:ascii="Arial" w:hAnsi="Arial" w:cs="Arial"/>
          <w:sz w:val="20"/>
        </w:rPr>
      </w:pPr>
      <w:r>
        <w:rPr>
          <w:rFonts w:ascii="Arial" w:hAnsi="Arial"/>
          <w:sz w:val="20"/>
        </w:rPr>
        <w:t>8.</w:t>
      </w:r>
      <w:r>
        <w:rPr>
          <w:rFonts w:ascii="Arial" w:hAnsi="Arial"/>
          <w:sz w:val="20"/>
        </w:rPr>
        <w:tab/>
        <w:t>Detailed technical requirements regarding the security of Online Banking shall be published on the Website and in Online Banking.</w:t>
      </w:r>
    </w:p>
    <w:p w14:paraId="4466AE0D" w14:textId="77777777" w:rsidR="00141118" w:rsidRPr="0097725F" w:rsidRDefault="00E43F01" w:rsidP="000E0514">
      <w:pPr>
        <w:ind w:left="851" w:hanging="357"/>
        <w:jc w:val="both"/>
        <w:rPr>
          <w:rFonts w:ascii="Arial" w:hAnsi="Arial" w:cs="Arial"/>
          <w:sz w:val="20"/>
        </w:rPr>
      </w:pPr>
      <w:r>
        <w:rPr>
          <w:rFonts w:ascii="Arial" w:hAnsi="Arial"/>
          <w:sz w:val="20"/>
        </w:rPr>
        <w:t>9.</w:t>
      </w:r>
      <w:r>
        <w:rPr>
          <w:rFonts w:ascii="Arial" w:hAnsi="Arial"/>
          <w:sz w:val="20"/>
        </w:rPr>
        <w:tab/>
        <w:t>The User shall not provide the Bank with any unlawful content.</w:t>
      </w:r>
    </w:p>
    <w:p w14:paraId="322FF4A0" w14:textId="77777777" w:rsidR="00141118" w:rsidRPr="0097725F" w:rsidRDefault="00E43F01" w:rsidP="0097725F">
      <w:pPr>
        <w:spacing w:before="240"/>
        <w:jc w:val="both"/>
        <w:outlineLvl w:val="1"/>
        <w:rPr>
          <w:rFonts w:ascii="Arial" w:hAnsi="Arial" w:cs="Arial"/>
          <w:sz w:val="20"/>
        </w:rPr>
      </w:pPr>
      <w:bookmarkStart w:id="22" w:name="bookmark21"/>
      <w:bookmarkStart w:id="23" w:name="bookmark22"/>
      <w:r>
        <w:rPr>
          <w:rFonts w:ascii="Arial" w:hAnsi="Arial"/>
          <w:b/>
          <w:sz w:val="20"/>
        </w:rPr>
        <w:t>§ 8 Amendments to the Regulations</w:t>
      </w:r>
      <w:bookmarkEnd w:id="22"/>
      <w:bookmarkEnd w:id="23"/>
    </w:p>
    <w:p w14:paraId="74C87809" w14:textId="25E9140F" w:rsidR="00141118" w:rsidRPr="0097725F" w:rsidRDefault="00E43F01" w:rsidP="000E0514">
      <w:pPr>
        <w:ind w:left="851" w:hanging="357"/>
        <w:jc w:val="both"/>
        <w:rPr>
          <w:rFonts w:ascii="Arial" w:hAnsi="Arial" w:cs="Arial"/>
          <w:sz w:val="20"/>
        </w:rPr>
      </w:pPr>
      <w:r>
        <w:rPr>
          <w:rFonts w:ascii="Arial" w:hAnsi="Arial"/>
          <w:sz w:val="20"/>
        </w:rPr>
        <w:t>1.</w:t>
      </w:r>
      <w:r>
        <w:rPr>
          <w:rFonts w:ascii="Arial" w:hAnsi="Arial"/>
          <w:sz w:val="20"/>
        </w:rPr>
        <w:tab/>
        <w:t>The Bank may introduce provisions concerning new additional services and products offered under the Regulations, applicable to the User, provided that the User agrees to these services and products and decides to use them.</w:t>
      </w:r>
    </w:p>
    <w:p w14:paraId="49B1F046" w14:textId="6F87C324" w:rsidR="00141118" w:rsidRPr="0097725F" w:rsidRDefault="00E43F01" w:rsidP="000E0514">
      <w:pPr>
        <w:ind w:left="851" w:hanging="357"/>
        <w:jc w:val="both"/>
        <w:rPr>
          <w:rFonts w:ascii="Arial" w:hAnsi="Arial" w:cs="Arial"/>
          <w:sz w:val="20"/>
        </w:rPr>
      </w:pPr>
      <w:r>
        <w:rPr>
          <w:rFonts w:ascii="Arial" w:hAnsi="Arial"/>
          <w:sz w:val="20"/>
        </w:rPr>
        <w:t>2.</w:t>
      </w:r>
      <w:r>
        <w:rPr>
          <w:rFonts w:ascii="Arial" w:hAnsi="Arial"/>
          <w:sz w:val="20"/>
        </w:rPr>
        <w:tab/>
        <w:t>The Bank may amend the provisions of the Regulations. The Regulations may be amended as a result of at least one of the following circumstances:</w:t>
      </w:r>
    </w:p>
    <w:p w14:paraId="4A5B82C6" w14:textId="73090248" w:rsidR="00141118" w:rsidRPr="0097725F" w:rsidRDefault="00E43F01" w:rsidP="000E0514">
      <w:pPr>
        <w:ind w:left="1134" w:hanging="357"/>
        <w:jc w:val="both"/>
        <w:rPr>
          <w:rFonts w:ascii="Arial" w:hAnsi="Arial" w:cs="Arial"/>
          <w:sz w:val="20"/>
        </w:rPr>
      </w:pPr>
      <w:r>
        <w:rPr>
          <w:rFonts w:ascii="Arial" w:hAnsi="Arial"/>
          <w:sz w:val="20"/>
        </w:rPr>
        <w:t>1)</w:t>
      </w:r>
      <w:r>
        <w:rPr>
          <w:rFonts w:ascii="Arial" w:hAnsi="Arial"/>
          <w:sz w:val="20"/>
        </w:rPr>
        <w:tab/>
        <w:t>the introduction of new or amendments to existing laws and regulations, and/or the issuance by authorised state bodies of recommendations, interpretations and/or specific administrative decisions concerning the application of laws and regulations – to the extent that the Bank is required to implement or apply such laws and regulations in order to properly perform the Service agreement,</w:t>
      </w:r>
    </w:p>
    <w:p w14:paraId="33B4BB80" w14:textId="77777777" w:rsidR="00141118" w:rsidRPr="0097725F" w:rsidRDefault="00E43F01" w:rsidP="000E0514">
      <w:pPr>
        <w:ind w:left="1134" w:hanging="357"/>
        <w:jc w:val="both"/>
        <w:rPr>
          <w:rFonts w:ascii="Arial" w:hAnsi="Arial" w:cs="Arial"/>
          <w:sz w:val="20"/>
        </w:rPr>
      </w:pPr>
      <w:r>
        <w:rPr>
          <w:rFonts w:ascii="Arial" w:hAnsi="Arial"/>
          <w:sz w:val="20"/>
        </w:rPr>
        <w:t>2)</w:t>
      </w:r>
      <w:r>
        <w:rPr>
          <w:rFonts w:ascii="Arial" w:hAnsi="Arial"/>
          <w:sz w:val="20"/>
        </w:rPr>
        <w:tab/>
        <w:t xml:space="preserve">changes to the Bank’s products and services related to technical and IT progress, the aim of which is to increase security or facilitate the User’s use of </w:t>
      </w:r>
      <w:r>
        <w:rPr>
          <w:rFonts w:ascii="Arial" w:hAnsi="Arial"/>
          <w:sz w:val="20"/>
        </w:rPr>
        <w:lastRenderedPageBreak/>
        <w:t>the Bank’s services and products covered by the Regulations, provided that such changes ensure proper performance of services and necessitate adjustments to the provisions of the Regulations,</w:t>
      </w:r>
    </w:p>
    <w:p w14:paraId="3789E19C" w14:textId="77777777" w:rsidR="00141118" w:rsidRPr="0097725F" w:rsidRDefault="00E43F01" w:rsidP="000E0514">
      <w:pPr>
        <w:ind w:left="1134" w:hanging="357"/>
        <w:jc w:val="both"/>
        <w:rPr>
          <w:rFonts w:ascii="Arial" w:hAnsi="Arial" w:cs="Arial"/>
          <w:sz w:val="20"/>
        </w:rPr>
      </w:pPr>
      <w:r>
        <w:rPr>
          <w:rFonts w:ascii="Arial" w:hAnsi="Arial"/>
          <w:sz w:val="20"/>
        </w:rPr>
        <w:t>3)</w:t>
      </w:r>
      <w:r>
        <w:rPr>
          <w:rFonts w:ascii="Arial" w:hAnsi="Arial"/>
          <w:sz w:val="20"/>
        </w:rPr>
        <w:tab/>
        <w:t>changes in the functionality of banking services or products offered by the Bank as a result of changes in the Bank’s IT infrastructure, not causing any additional obligations on the part of the User, to the extent that this necessitates adjustments to the provisions of the Regulations.</w:t>
      </w:r>
    </w:p>
    <w:p w14:paraId="3FA0FBC8" w14:textId="77777777" w:rsidR="00141118" w:rsidRPr="0097725F" w:rsidRDefault="00E43F01" w:rsidP="000E0514">
      <w:pPr>
        <w:spacing w:before="240"/>
        <w:ind w:left="851" w:hanging="357"/>
        <w:jc w:val="both"/>
        <w:rPr>
          <w:rFonts w:ascii="Arial" w:hAnsi="Arial" w:cs="Arial"/>
          <w:sz w:val="20"/>
        </w:rPr>
      </w:pPr>
      <w:r>
        <w:rPr>
          <w:rFonts w:ascii="Arial" w:hAnsi="Arial"/>
          <w:sz w:val="20"/>
        </w:rPr>
        <w:t>3.</w:t>
      </w:r>
      <w:r>
        <w:rPr>
          <w:rFonts w:ascii="Arial" w:hAnsi="Arial"/>
          <w:sz w:val="20"/>
        </w:rPr>
        <w:tab/>
        <w:t>The scope of the proposed amendments to the Regulations shall be communicated by the Bank to the User no later than two months prior to the proposed effective date of the amendments, in paper form or on another durable medium.</w:t>
      </w:r>
    </w:p>
    <w:p w14:paraId="1DE806E4" w14:textId="77777777" w:rsidR="00141118" w:rsidRPr="0097725F" w:rsidRDefault="00E43F01" w:rsidP="000E0514">
      <w:pPr>
        <w:ind w:left="851" w:hanging="357"/>
        <w:jc w:val="both"/>
        <w:rPr>
          <w:rFonts w:ascii="Arial" w:hAnsi="Arial" w:cs="Arial"/>
          <w:sz w:val="20"/>
        </w:rPr>
      </w:pPr>
      <w:r>
        <w:rPr>
          <w:rFonts w:ascii="Arial" w:hAnsi="Arial"/>
          <w:sz w:val="20"/>
        </w:rPr>
        <w:t>4.</w:t>
      </w:r>
      <w:r>
        <w:rPr>
          <w:rFonts w:ascii="Arial" w:hAnsi="Arial"/>
          <w:sz w:val="20"/>
        </w:rPr>
        <w:tab/>
        <w:t>The User shall have the right, prior to the date of the proposed effective date of the amendments, to terminate the legal relationship with respect to the Service at no charge, with effect from any date until the date on which such amendments would have been applied.</w:t>
      </w:r>
    </w:p>
    <w:p w14:paraId="695D2D7F" w14:textId="77777777" w:rsidR="00141118" w:rsidRPr="0097725F" w:rsidRDefault="00E43F01" w:rsidP="000E0514">
      <w:pPr>
        <w:ind w:left="851" w:hanging="357"/>
        <w:jc w:val="both"/>
        <w:rPr>
          <w:rFonts w:ascii="Arial" w:hAnsi="Arial" w:cs="Arial"/>
          <w:sz w:val="20"/>
        </w:rPr>
      </w:pPr>
      <w:r>
        <w:rPr>
          <w:rFonts w:ascii="Arial" w:hAnsi="Arial"/>
          <w:sz w:val="20"/>
        </w:rPr>
        <w:t>5.</w:t>
      </w:r>
      <w:r>
        <w:rPr>
          <w:rFonts w:ascii="Arial" w:hAnsi="Arial"/>
          <w:sz w:val="20"/>
        </w:rPr>
        <w:tab/>
        <w:t>The User may object to the amendments proposed by the Bank or terminate the Service agreement with immediate effect, without incurring any fees or commissions on this account, before the effective date of the amendments. An objection or a declaration of termination of the Service agreement may be submitted, at the User’s option, in writing, via Online Banking, by email using the address given for communications with the Bank, or through the Call Centre, Customer Service Contact Centre, Private Line or Private Banking Centre. The absence of objections raised by the effective date of the amendments shall be tantamount to consent to the amendments.</w:t>
      </w:r>
    </w:p>
    <w:p w14:paraId="36A744B8" w14:textId="77777777" w:rsidR="00141118" w:rsidRPr="0097725F" w:rsidRDefault="00E43F01" w:rsidP="000E0514">
      <w:pPr>
        <w:ind w:left="851" w:hanging="357"/>
        <w:jc w:val="both"/>
        <w:rPr>
          <w:rFonts w:ascii="Arial" w:hAnsi="Arial" w:cs="Arial"/>
          <w:sz w:val="20"/>
        </w:rPr>
      </w:pPr>
      <w:r>
        <w:rPr>
          <w:rFonts w:ascii="Arial" w:hAnsi="Arial"/>
          <w:sz w:val="20"/>
        </w:rPr>
        <w:t>6.</w:t>
      </w:r>
      <w:r>
        <w:rPr>
          <w:rFonts w:ascii="Arial" w:hAnsi="Arial"/>
          <w:sz w:val="20"/>
        </w:rPr>
        <w:tab/>
        <w:t>If the User raises an objection but does not terminate the Service agreement, the agreement shall expire (in whole or in part, at the User’s choice) without payment of any fees and charges as of the day preceding the effective date of the proposed amendments.</w:t>
      </w:r>
    </w:p>
    <w:p w14:paraId="4A0409AE" w14:textId="77777777" w:rsidR="00141118" w:rsidRPr="0097725F" w:rsidRDefault="00E43F01" w:rsidP="0097725F">
      <w:pPr>
        <w:spacing w:before="240"/>
        <w:jc w:val="both"/>
        <w:outlineLvl w:val="1"/>
        <w:rPr>
          <w:rFonts w:ascii="Arial" w:hAnsi="Arial" w:cs="Arial"/>
          <w:sz w:val="20"/>
        </w:rPr>
      </w:pPr>
      <w:bookmarkStart w:id="24" w:name="bookmark23"/>
      <w:bookmarkStart w:id="25" w:name="bookmark24"/>
      <w:r>
        <w:rPr>
          <w:rFonts w:ascii="Arial" w:hAnsi="Arial"/>
          <w:b/>
          <w:sz w:val="20"/>
        </w:rPr>
        <w:t>§ 9 Termination of the Service agreement</w:t>
      </w:r>
      <w:bookmarkEnd w:id="24"/>
      <w:bookmarkEnd w:id="25"/>
    </w:p>
    <w:p w14:paraId="17F432F4" w14:textId="77777777" w:rsidR="00141118" w:rsidRPr="0097725F" w:rsidRDefault="00E43F01" w:rsidP="000E0514">
      <w:pPr>
        <w:ind w:left="851" w:hanging="357"/>
        <w:jc w:val="both"/>
        <w:rPr>
          <w:rFonts w:ascii="Arial" w:hAnsi="Arial" w:cs="Arial"/>
          <w:sz w:val="20"/>
        </w:rPr>
      </w:pPr>
      <w:r>
        <w:rPr>
          <w:rFonts w:ascii="Arial" w:hAnsi="Arial"/>
          <w:sz w:val="20"/>
        </w:rPr>
        <w:t>1.</w:t>
      </w:r>
      <w:r>
        <w:rPr>
          <w:rFonts w:ascii="Arial" w:hAnsi="Arial"/>
          <w:sz w:val="20"/>
        </w:rPr>
        <w:tab/>
        <w:t>The Bank may terminate the Agreement in whole or in part only for important reasons subject to a two-month notice period.</w:t>
      </w:r>
    </w:p>
    <w:p w14:paraId="0E536CD9" w14:textId="77777777" w:rsidR="00141118" w:rsidRPr="0097725F" w:rsidRDefault="00E43F01" w:rsidP="000E0514">
      <w:pPr>
        <w:ind w:left="851" w:hanging="357"/>
        <w:jc w:val="both"/>
        <w:rPr>
          <w:rFonts w:ascii="Arial" w:hAnsi="Arial" w:cs="Arial"/>
          <w:sz w:val="20"/>
        </w:rPr>
      </w:pPr>
      <w:r>
        <w:rPr>
          <w:rFonts w:ascii="Arial" w:hAnsi="Arial"/>
          <w:sz w:val="20"/>
        </w:rPr>
        <w:t>2.</w:t>
      </w:r>
      <w:r>
        <w:rPr>
          <w:rFonts w:ascii="Arial" w:hAnsi="Arial"/>
          <w:sz w:val="20"/>
        </w:rPr>
        <w:tab/>
        <w:t>The Bank may terminate the Agreement in the following cases:</w:t>
      </w:r>
    </w:p>
    <w:p w14:paraId="318368C5" w14:textId="77777777" w:rsidR="00141118" w:rsidRPr="0097725F" w:rsidRDefault="00E43F01" w:rsidP="000E0514">
      <w:pPr>
        <w:ind w:left="1134" w:hanging="357"/>
        <w:jc w:val="both"/>
        <w:rPr>
          <w:rFonts w:ascii="Arial" w:hAnsi="Arial" w:cs="Arial"/>
          <w:sz w:val="20"/>
        </w:rPr>
      </w:pPr>
      <w:r>
        <w:rPr>
          <w:rFonts w:ascii="Arial" w:hAnsi="Arial"/>
          <w:sz w:val="20"/>
        </w:rPr>
        <w:t>1)</w:t>
      </w:r>
      <w:r>
        <w:rPr>
          <w:rFonts w:ascii="Arial" w:hAnsi="Arial"/>
          <w:sz w:val="20"/>
        </w:rPr>
        <w:tab/>
        <w:t>the withdrawal of the Service from the Bank’s offering, with the proviso that such withdrawal may take place no earlier than three months from the date of discontinuation of the Bank’s offering of the Service to new Users, of which the User shall be informed by separate correspondence, including on a Durable Data Carrier, at least one month in advance,</w:t>
      </w:r>
    </w:p>
    <w:p w14:paraId="1957204A" w14:textId="77777777" w:rsidR="00141118" w:rsidRPr="0097725F" w:rsidRDefault="00E43F01" w:rsidP="000E0514">
      <w:pPr>
        <w:ind w:left="1134" w:hanging="357"/>
        <w:jc w:val="both"/>
        <w:rPr>
          <w:rFonts w:ascii="Arial" w:hAnsi="Arial" w:cs="Arial"/>
          <w:sz w:val="20"/>
        </w:rPr>
      </w:pPr>
      <w:r>
        <w:rPr>
          <w:rFonts w:ascii="Arial" w:hAnsi="Arial"/>
          <w:sz w:val="20"/>
        </w:rPr>
        <w:t>2)</w:t>
      </w:r>
      <w:r>
        <w:rPr>
          <w:rFonts w:ascii="Arial" w:hAnsi="Arial"/>
          <w:sz w:val="20"/>
        </w:rPr>
        <w:tab/>
        <w:t>the provision by the User of false information upon conclusion or in the course of performance of the Service agreement, such that the Bank would not have concluded the Service agreement or would have concluded it on different terms if it had not acted in reliance on this information; this includes the use of false, counterfeit or forged documents,</w:t>
      </w:r>
    </w:p>
    <w:p w14:paraId="3E7E7EBD" w14:textId="77777777" w:rsidR="00141118" w:rsidRPr="0097725F" w:rsidRDefault="00E43F01" w:rsidP="000E0514">
      <w:pPr>
        <w:ind w:left="1134" w:hanging="357"/>
        <w:jc w:val="both"/>
        <w:rPr>
          <w:rFonts w:ascii="Arial" w:hAnsi="Arial" w:cs="Arial"/>
          <w:sz w:val="20"/>
        </w:rPr>
      </w:pPr>
      <w:r>
        <w:rPr>
          <w:rFonts w:ascii="Arial" w:hAnsi="Arial"/>
          <w:sz w:val="20"/>
        </w:rPr>
        <w:t>3)</w:t>
      </w:r>
      <w:r>
        <w:rPr>
          <w:rFonts w:ascii="Arial" w:hAnsi="Arial"/>
          <w:sz w:val="20"/>
        </w:rPr>
        <w:tab/>
        <w:t>the negative risk assessment within the meaning of Article 33 paragraph 2 of the Act of 1 March 2018 on anti-money laundering and terrorism financing,</w:t>
      </w:r>
    </w:p>
    <w:p w14:paraId="15D0F9EC" w14:textId="77777777" w:rsidR="00141118" w:rsidRPr="0097725F" w:rsidRDefault="00E43F01" w:rsidP="000E0514">
      <w:pPr>
        <w:ind w:left="1134" w:hanging="357"/>
        <w:jc w:val="both"/>
        <w:rPr>
          <w:rFonts w:ascii="Arial" w:hAnsi="Arial" w:cs="Arial"/>
          <w:sz w:val="20"/>
        </w:rPr>
      </w:pPr>
      <w:r>
        <w:rPr>
          <w:rFonts w:ascii="Arial" w:hAnsi="Arial"/>
          <w:sz w:val="20"/>
        </w:rPr>
        <w:t>4)</w:t>
      </w:r>
      <w:r>
        <w:rPr>
          <w:rFonts w:ascii="Arial" w:hAnsi="Arial"/>
          <w:sz w:val="20"/>
        </w:rPr>
        <w:tab/>
        <w:t>the violation by the Customer of laws and regulations related to the prevention of money laundering, terrorism financing and/or using the Bank’s business to engage in criminal or related activities.</w:t>
      </w:r>
    </w:p>
    <w:p w14:paraId="0D107D5F" w14:textId="77777777" w:rsidR="00141118" w:rsidRPr="0097725F" w:rsidRDefault="00E43F01" w:rsidP="000E0514">
      <w:pPr>
        <w:ind w:left="851" w:hanging="357"/>
        <w:jc w:val="both"/>
        <w:rPr>
          <w:rFonts w:ascii="Arial" w:hAnsi="Arial" w:cs="Arial"/>
          <w:sz w:val="20"/>
        </w:rPr>
      </w:pPr>
      <w:r>
        <w:rPr>
          <w:rFonts w:ascii="Arial" w:hAnsi="Arial"/>
          <w:sz w:val="20"/>
        </w:rPr>
        <w:t>3.</w:t>
      </w:r>
      <w:r>
        <w:rPr>
          <w:rFonts w:ascii="Arial" w:hAnsi="Arial"/>
          <w:sz w:val="20"/>
        </w:rPr>
        <w:tab/>
        <w:t>Termination of the Service agreement by the Bank shall require an electronic or paper form.</w:t>
      </w:r>
    </w:p>
    <w:p w14:paraId="4CA6668D" w14:textId="77777777" w:rsidR="00141118" w:rsidRPr="0097725F" w:rsidRDefault="00E43F01" w:rsidP="0097725F">
      <w:pPr>
        <w:spacing w:before="240"/>
        <w:jc w:val="both"/>
        <w:outlineLvl w:val="1"/>
        <w:rPr>
          <w:rFonts w:ascii="Arial" w:hAnsi="Arial" w:cs="Arial"/>
          <w:sz w:val="20"/>
        </w:rPr>
      </w:pPr>
      <w:bookmarkStart w:id="26" w:name="bookmark25"/>
      <w:bookmarkStart w:id="27" w:name="bookmark26"/>
      <w:r>
        <w:rPr>
          <w:rFonts w:ascii="Arial" w:hAnsi="Arial"/>
          <w:b/>
          <w:sz w:val="20"/>
        </w:rPr>
        <w:t>§ 10. Other provisions</w:t>
      </w:r>
      <w:bookmarkEnd w:id="26"/>
      <w:bookmarkEnd w:id="27"/>
    </w:p>
    <w:p w14:paraId="26B8FC2D" w14:textId="77777777" w:rsidR="00141118" w:rsidRPr="0097725F" w:rsidRDefault="00E43F01" w:rsidP="000E0514">
      <w:pPr>
        <w:ind w:left="851" w:hanging="357"/>
        <w:jc w:val="both"/>
        <w:rPr>
          <w:rFonts w:ascii="Arial" w:hAnsi="Arial" w:cs="Arial"/>
          <w:sz w:val="20"/>
        </w:rPr>
      </w:pPr>
      <w:r>
        <w:rPr>
          <w:rFonts w:ascii="Arial" w:hAnsi="Arial"/>
          <w:sz w:val="20"/>
        </w:rPr>
        <w:lastRenderedPageBreak/>
        <w:t>1.</w:t>
      </w:r>
      <w:r>
        <w:rPr>
          <w:rFonts w:ascii="Arial" w:hAnsi="Arial"/>
          <w:sz w:val="20"/>
        </w:rPr>
        <w:tab/>
        <w:t>The Bank shall communicate with the User in the Polish language.</w:t>
      </w:r>
    </w:p>
    <w:p w14:paraId="21AF12BB" w14:textId="77777777" w:rsidR="00141118" w:rsidRPr="0097725F" w:rsidRDefault="00E43F01" w:rsidP="000E0514">
      <w:pPr>
        <w:ind w:left="851" w:hanging="357"/>
        <w:jc w:val="both"/>
        <w:rPr>
          <w:rFonts w:ascii="Arial" w:hAnsi="Arial" w:cs="Arial"/>
          <w:sz w:val="20"/>
        </w:rPr>
      </w:pPr>
      <w:r>
        <w:rPr>
          <w:rFonts w:ascii="Arial" w:hAnsi="Arial"/>
          <w:sz w:val="20"/>
        </w:rPr>
        <w:t>2.</w:t>
      </w:r>
      <w:r>
        <w:rPr>
          <w:rFonts w:ascii="Arial" w:hAnsi="Arial"/>
          <w:sz w:val="20"/>
        </w:rPr>
        <w:tab/>
        <w:t>The Bank may communicate with the User by email, electronically, by telephone or in writing.</w:t>
      </w:r>
    </w:p>
    <w:p w14:paraId="546E553E" w14:textId="77777777" w:rsidR="00141118" w:rsidRPr="0097725F" w:rsidRDefault="00E43F01" w:rsidP="000E0514">
      <w:pPr>
        <w:ind w:left="851" w:hanging="357"/>
        <w:jc w:val="both"/>
        <w:rPr>
          <w:rFonts w:ascii="Arial" w:hAnsi="Arial" w:cs="Arial"/>
          <w:sz w:val="20"/>
        </w:rPr>
      </w:pPr>
      <w:r>
        <w:rPr>
          <w:rFonts w:ascii="Arial" w:hAnsi="Arial"/>
          <w:sz w:val="20"/>
        </w:rPr>
        <w:t>3.</w:t>
      </w:r>
      <w:r>
        <w:rPr>
          <w:rFonts w:ascii="Arial" w:hAnsi="Arial"/>
          <w:sz w:val="20"/>
        </w:rPr>
        <w:tab/>
        <w:t>The User can communicate with the Bank:</w:t>
      </w:r>
    </w:p>
    <w:p w14:paraId="27C9060A" w14:textId="77777777" w:rsidR="00141118" w:rsidRPr="0097725F" w:rsidRDefault="00E43F01" w:rsidP="000E0514">
      <w:pPr>
        <w:ind w:left="1134" w:hanging="357"/>
        <w:jc w:val="both"/>
        <w:rPr>
          <w:rFonts w:ascii="Arial" w:hAnsi="Arial" w:cs="Arial"/>
          <w:sz w:val="20"/>
        </w:rPr>
      </w:pPr>
      <w:r>
        <w:rPr>
          <w:rFonts w:ascii="Arial" w:hAnsi="Arial"/>
          <w:sz w:val="20"/>
        </w:rPr>
        <w:t>1)</w:t>
      </w:r>
      <w:r>
        <w:rPr>
          <w:rFonts w:ascii="Arial" w:hAnsi="Arial"/>
          <w:sz w:val="20"/>
        </w:rPr>
        <w:tab/>
        <w:t>electronically via Online Banking,</w:t>
      </w:r>
    </w:p>
    <w:p w14:paraId="65F9714B" w14:textId="77777777" w:rsidR="00141118" w:rsidRPr="0097725F" w:rsidRDefault="00E43F01" w:rsidP="000E0514">
      <w:pPr>
        <w:ind w:left="1134" w:hanging="357"/>
        <w:jc w:val="both"/>
        <w:rPr>
          <w:rFonts w:ascii="Arial" w:hAnsi="Arial" w:cs="Arial"/>
          <w:sz w:val="20"/>
        </w:rPr>
      </w:pPr>
      <w:r>
        <w:rPr>
          <w:rFonts w:ascii="Arial" w:hAnsi="Arial"/>
          <w:sz w:val="20"/>
        </w:rPr>
        <w:t>2)</w:t>
      </w:r>
      <w:r>
        <w:rPr>
          <w:rFonts w:ascii="Arial" w:hAnsi="Arial"/>
          <w:sz w:val="20"/>
        </w:rPr>
        <w:tab/>
        <w:t>by phone:</w:t>
      </w:r>
    </w:p>
    <w:p w14:paraId="2D7C24E9" w14:textId="77777777" w:rsidR="00141118" w:rsidRPr="0097725F" w:rsidRDefault="00E43F01" w:rsidP="000E0514">
      <w:pPr>
        <w:ind w:left="1134"/>
        <w:jc w:val="both"/>
        <w:rPr>
          <w:rFonts w:ascii="Arial" w:hAnsi="Arial" w:cs="Arial"/>
          <w:sz w:val="20"/>
        </w:rPr>
      </w:pPr>
      <w:r>
        <w:rPr>
          <w:rFonts w:ascii="Arial" w:hAnsi="Arial"/>
          <w:sz w:val="20"/>
        </w:rPr>
        <w:t>+48 500 990 500 or +48 22 134 00 00. These numbers are available for mobile domestic and international calls. Operator rates apply;</w:t>
      </w:r>
    </w:p>
    <w:p w14:paraId="0EA0D03F" w14:textId="77777777" w:rsidR="00141118" w:rsidRPr="0097725F" w:rsidRDefault="00E43F01" w:rsidP="000E0514">
      <w:pPr>
        <w:ind w:left="1134" w:hanging="357"/>
        <w:jc w:val="both"/>
        <w:rPr>
          <w:rFonts w:ascii="Arial" w:hAnsi="Arial" w:cs="Arial"/>
          <w:sz w:val="20"/>
        </w:rPr>
      </w:pPr>
      <w:r>
        <w:rPr>
          <w:rFonts w:ascii="Arial" w:hAnsi="Arial"/>
          <w:sz w:val="20"/>
        </w:rPr>
        <w:t>3)</w:t>
      </w:r>
      <w:r>
        <w:rPr>
          <w:rFonts w:ascii="Arial" w:hAnsi="Arial"/>
          <w:sz w:val="20"/>
        </w:rPr>
        <w:tab/>
        <w:t>in writing – by sending a letter to the address:</w:t>
      </w:r>
    </w:p>
    <w:p w14:paraId="4A61ACF2" w14:textId="77777777" w:rsidR="00141118" w:rsidRPr="00E03949" w:rsidRDefault="00E43F01" w:rsidP="000E0514">
      <w:pPr>
        <w:ind w:left="1134"/>
        <w:jc w:val="both"/>
        <w:rPr>
          <w:rFonts w:ascii="Arial" w:hAnsi="Arial" w:cs="Arial"/>
          <w:sz w:val="20"/>
          <w:lang w:val="pl-PL"/>
        </w:rPr>
      </w:pPr>
      <w:r w:rsidRPr="00E03949">
        <w:rPr>
          <w:rFonts w:ascii="Arial" w:hAnsi="Arial"/>
          <w:sz w:val="20"/>
          <w:lang w:val="pl-PL"/>
        </w:rPr>
        <w:t>BNP Paribas Bank Polska S.A.</w:t>
      </w:r>
    </w:p>
    <w:p w14:paraId="20349243" w14:textId="77777777" w:rsidR="00141118" w:rsidRPr="0097725F" w:rsidRDefault="00E43F01" w:rsidP="000E0514">
      <w:pPr>
        <w:ind w:left="1134"/>
        <w:jc w:val="both"/>
        <w:rPr>
          <w:rFonts w:ascii="Arial" w:hAnsi="Arial" w:cs="Arial"/>
          <w:sz w:val="20"/>
        </w:rPr>
      </w:pPr>
      <w:r>
        <w:rPr>
          <w:rFonts w:ascii="Arial" w:hAnsi="Arial"/>
          <w:sz w:val="20"/>
        </w:rPr>
        <w:t>ul. Kasprzaka 2,</w:t>
      </w:r>
    </w:p>
    <w:p w14:paraId="1BDBDFB8" w14:textId="77777777" w:rsidR="00141118" w:rsidRPr="0097725F" w:rsidRDefault="00E43F01" w:rsidP="000E0514">
      <w:pPr>
        <w:ind w:left="1134"/>
        <w:jc w:val="both"/>
        <w:rPr>
          <w:rFonts w:ascii="Arial" w:hAnsi="Arial" w:cs="Arial"/>
          <w:sz w:val="20"/>
        </w:rPr>
      </w:pPr>
      <w:r>
        <w:rPr>
          <w:rFonts w:ascii="Arial" w:hAnsi="Arial"/>
          <w:sz w:val="20"/>
        </w:rPr>
        <w:t>01-211 Warszawa;</w:t>
      </w:r>
    </w:p>
    <w:p w14:paraId="5D226557" w14:textId="3BA98795" w:rsidR="00141118" w:rsidRPr="0097725F" w:rsidRDefault="00E43F01" w:rsidP="002C5DBD">
      <w:pPr>
        <w:ind w:left="1134" w:hanging="357"/>
        <w:jc w:val="both"/>
        <w:rPr>
          <w:rFonts w:ascii="Arial" w:hAnsi="Arial" w:cs="Arial"/>
          <w:sz w:val="20"/>
        </w:rPr>
      </w:pPr>
      <w:r>
        <w:rPr>
          <w:rFonts w:ascii="Arial" w:hAnsi="Arial"/>
          <w:sz w:val="20"/>
        </w:rPr>
        <w:t>4)</w:t>
      </w:r>
      <w:r>
        <w:rPr>
          <w:rFonts w:ascii="Arial" w:hAnsi="Arial"/>
          <w:sz w:val="20"/>
        </w:rPr>
        <w:tab/>
        <w:t xml:space="preserve">personally – in any of the Bank’s branches, </w:t>
      </w:r>
    </w:p>
    <w:p w14:paraId="0B96B019" w14:textId="77777777" w:rsidR="00141118" w:rsidRPr="0097725F" w:rsidRDefault="00E43F01" w:rsidP="000E0514">
      <w:pPr>
        <w:ind w:left="1134"/>
        <w:jc w:val="both"/>
        <w:rPr>
          <w:rFonts w:ascii="Arial" w:hAnsi="Arial" w:cs="Arial"/>
          <w:sz w:val="20"/>
        </w:rPr>
      </w:pPr>
      <w:r>
        <w:rPr>
          <w:rFonts w:ascii="Arial" w:hAnsi="Arial"/>
          <w:sz w:val="20"/>
        </w:rPr>
        <w:t>directly or through a representative who has a power of attorney granted by the User in writing.</w:t>
      </w:r>
    </w:p>
    <w:p w14:paraId="2EEE5B5E" w14:textId="77777777" w:rsidR="00141118" w:rsidRPr="0097725F" w:rsidRDefault="00E43F01" w:rsidP="000E0514">
      <w:pPr>
        <w:ind w:left="851" w:hanging="357"/>
        <w:jc w:val="both"/>
        <w:rPr>
          <w:rFonts w:ascii="Arial" w:hAnsi="Arial" w:cs="Arial"/>
          <w:sz w:val="20"/>
        </w:rPr>
      </w:pPr>
      <w:r>
        <w:rPr>
          <w:rFonts w:ascii="Arial" w:hAnsi="Arial"/>
          <w:sz w:val="20"/>
        </w:rPr>
        <w:t>4.</w:t>
      </w:r>
      <w:r>
        <w:rPr>
          <w:rFonts w:ascii="Arial" w:hAnsi="Arial"/>
          <w:sz w:val="20"/>
        </w:rPr>
        <w:tab/>
        <w:t>The User may file complaints:</w:t>
      </w:r>
    </w:p>
    <w:p w14:paraId="0933E60A" w14:textId="403A4C2B" w:rsidR="00141118" w:rsidRPr="0097725F" w:rsidRDefault="00E43F01" w:rsidP="000E0514">
      <w:pPr>
        <w:ind w:left="1134" w:hanging="357"/>
        <w:jc w:val="both"/>
        <w:rPr>
          <w:rFonts w:ascii="Arial" w:hAnsi="Arial" w:cs="Arial"/>
          <w:sz w:val="20"/>
        </w:rPr>
      </w:pPr>
      <w:r>
        <w:rPr>
          <w:rFonts w:ascii="Arial" w:hAnsi="Arial"/>
          <w:sz w:val="20"/>
        </w:rPr>
        <w:t>1)</w:t>
      </w:r>
      <w:r>
        <w:rPr>
          <w:rFonts w:ascii="Arial" w:hAnsi="Arial"/>
          <w:sz w:val="20"/>
        </w:rPr>
        <w:tab/>
        <w:t>electronically via Online Banking or using the online form: https://www.bnpparibas.pl/kontakt/formularz-reklamacji;</w:t>
      </w:r>
    </w:p>
    <w:p w14:paraId="270CCCA6" w14:textId="77777777" w:rsidR="00141118" w:rsidRPr="0097725F" w:rsidRDefault="00E43F01" w:rsidP="000E0514">
      <w:pPr>
        <w:ind w:left="1134" w:hanging="357"/>
        <w:jc w:val="both"/>
        <w:rPr>
          <w:rFonts w:ascii="Arial" w:hAnsi="Arial" w:cs="Arial"/>
          <w:sz w:val="20"/>
        </w:rPr>
      </w:pPr>
      <w:r>
        <w:rPr>
          <w:rFonts w:ascii="Arial" w:hAnsi="Arial"/>
          <w:sz w:val="20"/>
        </w:rPr>
        <w:t>2)</w:t>
      </w:r>
      <w:r>
        <w:rPr>
          <w:rFonts w:ascii="Arial" w:hAnsi="Arial"/>
          <w:sz w:val="20"/>
        </w:rPr>
        <w:tab/>
        <w:t>by phone:</w:t>
      </w:r>
    </w:p>
    <w:p w14:paraId="3113CCEE" w14:textId="77777777" w:rsidR="00141118" w:rsidRPr="0097725F" w:rsidRDefault="00E43F01" w:rsidP="000E0514">
      <w:pPr>
        <w:ind w:left="1134"/>
        <w:jc w:val="both"/>
        <w:rPr>
          <w:rFonts w:ascii="Arial" w:hAnsi="Arial" w:cs="Arial"/>
          <w:sz w:val="20"/>
        </w:rPr>
      </w:pPr>
      <w:r>
        <w:rPr>
          <w:rFonts w:ascii="Arial" w:hAnsi="Arial"/>
          <w:sz w:val="20"/>
        </w:rPr>
        <w:t>+48 500 990 500 or +48 22 134 00 00. These numbers are available for mobile domestic and international calls. Operator rates apply;</w:t>
      </w:r>
    </w:p>
    <w:p w14:paraId="5FA98B05" w14:textId="77777777" w:rsidR="00141118" w:rsidRPr="0097725F" w:rsidRDefault="00E43F01" w:rsidP="000E0514">
      <w:pPr>
        <w:ind w:left="1134" w:hanging="357"/>
        <w:jc w:val="both"/>
        <w:rPr>
          <w:rFonts w:ascii="Arial" w:hAnsi="Arial" w:cs="Arial"/>
          <w:sz w:val="20"/>
        </w:rPr>
      </w:pPr>
      <w:r>
        <w:rPr>
          <w:rFonts w:ascii="Arial" w:hAnsi="Arial"/>
          <w:sz w:val="20"/>
        </w:rPr>
        <w:t>3)</w:t>
      </w:r>
      <w:r>
        <w:rPr>
          <w:rFonts w:ascii="Arial" w:hAnsi="Arial"/>
          <w:sz w:val="20"/>
        </w:rPr>
        <w:tab/>
        <w:t>in writing – by sending a letter to the address:</w:t>
      </w:r>
    </w:p>
    <w:p w14:paraId="06472060" w14:textId="77777777" w:rsidR="00141118" w:rsidRPr="00E03949" w:rsidRDefault="00E43F01" w:rsidP="000E0514">
      <w:pPr>
        <w:ind w:left="1134"/>
        <w:jc w:val="both"/>
        <w:rPr>
          <w:rFonts w:ascii="Arial" w:hAnsi="Arial" w:cs="Arial"/>
          <w:sz w:val="20"/>
          <w:lang w:val="pl-PL"/>
        </w:rPr>
      </w:pPr>
      <w:r w:rsidRPr="00E03949">
        <w:rPr>
          <w:rFonts w:ascii="Arial" w:hAnsi="Arial"/>
          <w:sz w:val="20"/>
          <w:lang w:val="pl-PL"/>
        </w:rPr>
        <w:t>BNP Paribas Bank Polska S.A.</w:t>
      </w:r>
    </w:p>
    <w:p w14:paraId="71B1C961" w14:textId="77777777" w:rsidR="00141118" w:rsidRPr="00E03949" w:rsidRDefault="00E43F01" w:rsidP="000E0514">
      <w:pPr>
        <w:ind w:left="1134"/>
        <w:jc w:val="both"/>
        <w:rPr>
          <w:rFonts w:ascii="Arial" w:hAnsi="Arial" w:cs="Arial"/>
          <w:sz w:val="20"/>
          <w:lang w:val="pl-PL"/>
        </w:rPr>
      </w:pPr>
      <w:r w:rsidRPr="00E03949">
        <w:rPr>
          <w:rFonts w:ascii="Arial" w:hAnsi="Arial"/>
          <w:sz w:val="20"/>
          <w:lang w:val="pl-PL"/>
        </w:rPr>
        <w:t>Biuro Zarządzania Procesem Rozpatrywania Reklamacji (Complaints Handling Bureau)</w:t>
      </w:r>
    </w:p>
    <w:p w14:paraId="4C878B85" w14:textId="77777777" w:rsidR="00141118" w:rsidRPr="0097725F" w:rsidRDefault="00E43F01" w:rsidP="000E0514">
      <w:pPr>
        <w:ind w:left="1134"/>
        <w:jc w:val="both"/>
        <w:rPr>
          <w:rFonts w:ascii="Arial" w:hAnsi="Arial" w:cs="Arial"/>
          <w:sz w:val="20"/>
        </w:rPr>
      </w:pPr>
      <w:r>
        <w:rPr>
          <w:rFonts w:ascii="Arial" w:hAnsi="Arial"/>
          <w:sz w:val="20"/>
        </w:rPr>
        <w:t>ul. Oświęcimska 9</w:t>
      </w:r>
    </w:p>
    <w:p w14:paraId="07003BC5" w14:textId="77777777" w:rsidR="00141118" w:rsidRPr="0097725F" w:rsidRDefault="00E43F01" w:rsidP="000E0514">
      <w:pPr>
        <w:ind w:left="1134"/>
        <w:jc w:val="both"/>
        <w:rPr>
          <w:rFonts w:ascii="Arial" w:hAnsi="Arial" w:cs="Arial"/>
          <w:sz w:val="20"/>
        </w:rPr>
      </w:pPr>
      <w:r>
        <w:rPr>
          <w:rFonts w:ascii="Arial" w:hAnsi="Arial"/>
          <w:sz w:val="20"/>
        </w:rPr>
        <w:t>41-707 Ruda Śląska;</w:t>
      </w:r>
    </w:p>
    <w:p w14:paraId="2F01AEDD" w14:textId="77777777" w:rsidR="00141118" w:rsidRPr="0097725F" w:rsidRDefault="00E43F01" w:rsidP="000E0514">
      <w:pPr>
        <w:ind w:left="1134" w:hanging="357"/>
        <w:jc w:val="both"/>
        <w:rPr>
          <w:rFonts w:ascii="Arial" w:hAnsi="Arial" w:cs="Arial"/>
          <w:sz w:val="20"/>
        </w:rPr>
      </w:pPr>
      <w:r>
        <w:rPr>
          <w:rFonts w:ascii="Arial" w:hAnsi="Arial"/>
          <w:sz w:val="20"/>
        </w:rPr>
        <w:t>4)</w:t>
      </w:r>
      <w:r>
        <w:rPr>
          <w:rFonts w:ascii="Arial" w:hAnsi="Arial"/>
          <w:sz w:val="20"/>
        </w:rPr>
        <w:tab/>
        <w:t>personally – in any of the Bank’s branches,</w:t>
      </w:r>
    </w:p>
    <w:p w14:paraId="6E9E13E6" w14:textId="77777777" w:rsidR="00141118" w:rsidRPr="0097725F" w:rsidRDefault="00E43F01" w:rsidP="000E0514">
      <w:pPr>
        <w:ind w:left="1134"/>
        <w:jc w:val="both"/>
        <w:rPr>
          <w:rFonts w:ascii="Arial" w:hAnsi="Arial" w:cs="Arial"/>
          <w:sz w:val="20"/>
        </w:rPr>
      </w:pPr>
      <w:r>
        <w:rPr>
          <w:rFonts w:ascii="Arial" w:hAnsi="Arial"/>
          <w:sz w:val="20"/>
        </w:rPr>
        <w:t>directly or through a representative who has a power of attorney granted by the User in writing.</w:t>
      </w:r>
    </w:p>
    <w:p w14:paraId="416E4090" w14:textId="77777777" w:rsidR="00141118" w:rsidRPr="0097725F" w:rsidRDefault="00E43F01" w:rsidP="000E0514">
      <w:pPr>
        <w:ind w:left="851" w:hanging="357"/>
        <w:jc w:val="both"/>
        <w:rPr>
          <w:rFonts w:ascii="Arial" w:hAnsi="Arial" w:cs="Arial"/>
          <w:sz w:val="20"/>
        </w:rPr>
      </w:pPr>
      <w:r>
        <w:rPr>
          <w:rFonts w:ascii="Arial" w:hAnsi="Arial"/>
          <w:sz w:val="20"/>
        </w:rPr>
        <w:t>5.</w:t>
      </w:r>
      <w:r>
        <w:rPr>
          <w:rFonts w:ascii="Arial" w:hAnsi="Arial"/>
          <w:sz w:val="20"/>
        </w:rPr>
        <w:tab/>
        <w:t>The complaint should include a description of the matter and the claims, as well as the User’s data and an indication of the preferred form of delivery of the response – mailing address (if the response is to be provided in paper form) or email address (if the response is to be provided by email). If the complaint requires clarification on the part of the User, the Bank shall ask the User to provide additional information.</w:t>
      </w:r>
    </w:p>
    <w:p w14:paraId="3DAF9E44" w14:textId="77777777" w:rsidR="00141118" w:rsidRPr="0097725F" w:rsidRDefault="00E43F01" w:rsidP="000E0514">
      <w:pPr>
        <w:ind w:left="851" w:hanging="357"/>
        <w:jc w:val="both"/>
        <w:rPr>
          <w:rFonts w:ascii="Arial" w:hAnsi="Arial" w:cs="Arial"/>
          <w:sz w:val="20"/>
        </w:rPr>
      </w:pPr>
      <w:r>
        <w:rPr>
          <w:rFonts w:ascii="Arial" w:hAnsi="Arial"/>
          <w:sz w:val="20"/>
        </w:rPr>
        <w:t>6.</w:t>
      </w:r>
      <w:r>
        <w:rPr>
          <w:rFonts w:ascii="Arial" w:hAnsi="Arial"/>
          <w:sz w:val="20"/>
        </w:rPr>
        <w:tab/>
        <w:t>The Bank shall consider complaints promptly, within the following time frame:</w:t>
      </w:r>
    </w:p>
    <w:p w14:paraId="15577B43" w14:textId="77777777" w:rsidR="00141118" w:rsidRPr="0097725F" w:rsidRDefault="00E43F01" w:rsidP="000E0514">
      <w:pPr>
        <w:ind w:left="1134" w:hanging="357"/>
        <w:jc w:val="both"/>
        <w:rPr>
          <w:rFonts w:ascii="Arial" w:hAnsi="Arial" w:cs="Arial"/>
          <w:sz w:val="20"/>
        </w:rPr>
      </w:pPr>
      <w:r>
        <w:rPr>
          <w:rFonts w:ascii="Arial" w:hAnsi="Arial"/>
          <w:sz w:val="20"/>
        </w:rPr>
        <w:t>1)</w:t>
      </w:r>
      <w:r>
        <w:rPr>
          <w:rFonts w:ascii="Arial" w:hAnsi="Arial"/>
          <w:sz w:val="20"/>
        </w:rPr>
        <w:tab/>
        <w:t>no more than 15 working days from the date of receipt in the case of complaints regarding rights and obligations under the Act. In justified, particularly complex cases, this time limit may be extended to a maximum of 35 working days from the date of the complaint’s receipt by the Bank, subject to providing the User with information on the reasons for the delay and designating an expected time limit for examining the case;</w:t>
      </w:r>
    </w:p>
    <w:p w14:paraId="582063AC" w14:textId="77777777" w:rsidR="00141118" w:rsidRPr="0097725F" w:rsidRDefault="00E43F01" w:rsidP="000E0514">
      <w:pPr>
        <w:ind w:left="1134" w:hanging="357"/>
        <w:jc w:val="both"/>
        <w:rPr>
          <w:rFonts w:ascii="Arial" w:hAnsi="Arial" w:cs="Arial"/>
          <w:sz w:val="20"/>
        </w:rPr>
      </w:pPr>
      <w:r>
        <w:rPr>
          <w:rFonts w:ascii="Arial" w:hAnsi="Arial"/>
          <w:sz w:val="20"/>
        </w:rPr>
        <w:t>2)</w:t>
      </w:r>
      <w:r>
        <w:rPr>
          <w:rFonts w:ascii="Arial" w:hAnsi="Arial"/>
          <w:sz w:val="20"/>
        </w:rPr>
        <w:tab/>
        <w:t>no more than 30 calendar days from the date of receipt in the case of complaints handled under the Act of 5 August 2015 on the handling of complaints by financial market entities and the Financial Ombudsman. In justified, particularly complex cases, this time limit may be extended to a maximum of 60 working days from the date of the complaint’s receipt by the Bank, subject to providing the User with information on the reasons for the delay and designating an expected time limit for examining the case.</w:t>
      </w:r>
    </w:p>
    <w:p w14:paraId="6D9CAF5F" w14:textId="77777777" w:rsidR="00141118" w:rsidRPr="0097725F" w:rsidRDefault="00E43F01" w:rsidP="000E0514">
      <w:pPr>
        <w:ind w:left="851" w:hanging="357"/>
        <w:jc w:val="both"/>
        <w:rPr>
          <w:rFonts w:ascii="Arial" w:hAnsi="Arial" w:cs="Arial"/>
          <w:sz w:val="20"/>
        </w:rPr>
      </w:pPr>
      <w:r>
        <w:rPr>
          <w:rFonts w:ascii="Arial" w:hAnsi="Arial"/>
          <w:sz w:val="20"/>
        </w:rPr>
        <w:t>7.</w:t>
      </w:r>
      <w:r>
        <w:rPr>
          <w:rFonts w:ascii="Arial" w:hAnsi="Arial"/>
          <w:sz w:val="20"/>
        </w:rPr>
        <w:tab/>
        <w:t>The Bank’s complaint procedure shall not exclude the User’s claims under applicable law.</w:t>
      </w:r>
    </w:p>
    <w:p w14:paraId="2F00D350" w14:textId="77777777" w:rsidR="00141118" w:rsidRPr="0097725F" w:rsidRDefault="00E43F01" w:rsidP="000E0514">
      <w:pPr>
        <w:ind w:left="851" w:hanging="357"/>
        <w:jc w:val="both"/>
        <w:rPr>
          <w:rFonts w:ascii="Arial" w:hAnsi="Arial" w:cs="Arial"/>
          <w:sz w:val="20"/>
        </w:rPr>
      </w:pPr>
      <w:r>
        <w:rPr>
          <w:rFonts w:ascii="Arial" w:hAnsi="Arial"/>
          <w:sz w:val="20"/>
        </w:rPr>
        <w:lastRenderedPageBreak/>
        <w:t>8.</w:t>
      </w:r>
      <w:r>
        <w:rPr>
          <w:rFonts w:ascii="Arial" w:hAnsi="Arial"/>
          <w:sz w:val="20"/>
        </w:rPr>
        <w:tab/>
        <w:t>The law of Poland shall be applicable to the services provided under the Regulations.</w:t>
      </w:r>
    </w:p>
    <w:p w14:paraId="4DB76B05" w14:textId="77777777" w:rsidR="00141118" w:rsidRPr="0097725F" w:rsidRDefault="00E43F01" w:rsidP="000E0514">
      <w:pPr>
        <w:ind w:left="851" w:hanging="357"/>
        <w:jc w:val="both"/>
        <w:rPr>
          <w:rFonts w:ascii="Arial" w:hAnsi="Arial" w:cs="Arial"/>
          <w:sz w:val="20"/>
        </w:rPr>
      </w:pPr>
      <w:r>
        <w:rPr>
          <w:rFonts w:ascii="Arial" w:hAnsi="Arial"/>
          <w:sz w:val="20"/>
        </w:rPr>
        <w:t>9.</w:t>
      </w:r>
      <w:r>
        <w:rPr>
          <w:rFonts w:ascii="Arial" w:hAnsi="Arial"/>
          <w:sz w:val="20"/>
        </w:rPr>
        <w:tab/>
        <w:t>The court having jurisdiction to resolve disputes related to the performance of the Agreement with respect to the use of the Service shall be determined in accordance with the applicable laws on the jurisdiction of the courts, including the Act of 17 November 1964 – the Code of Civil Procedure (“CCP”).</w:t>
      </w:r>
    </w:p>
    <w:p w14:paraId="1091792F" w14:textId="3AFF76C6" w:rsidR="00141118" w:rsidRPr="0097725F" w:rsidRDefault="00E43F01" w:rsidP="000E0514">
      <w:pPr>
        <w:ind w:left="851" w:hanging="357"/>
        <w:jc w:val="both"/>
        <w:rPr>
          <w:rFonts w:ascii="Arial" w:hAnsi="Arial" w:cs="Arial"/>
          <w:sz w:val="20"/>
        </w:rPr>
      </w:pPr>
      <w:r>
        <w:rPr>
          <w:rFonts w:ascii="Arial" w:hAnsi="Arial"/>
          <w:sz w:val="20"/>
        </w:rPr>
        <w:t>10.</w:t>
      </w:r>
      <w:r>
        <w:rPr>
          <w:rFonts w:ascii="Arial" w:hAnsi="Arial"/>
          <w:sz w:val="20"/>
        </w:rPr>
        <w:tab/>
        <w:t xml:space="preserve">The User of the Service may obtain information on applicable laws, including the acts indicated in the Agreement, at www.dziennikustaw.gov.pl or, in the case of European Union law, at </w:t>
      </w:r>
      <w:r>
        <w:rPr>
          <w:rFonts w:ascii="Arial" w:hAnsi="Arial"/>
          <w:color w:val="0000FF"/>
          <w:sz w:val="20"/>
          <w:u w:val="single"/>
        </w:rPr>
        <w:t>www.eur-lex.europa.eu</w:t>
      </w:r>
      <w:r>
        <w:rPr>
          <w:rFonts w:ascii="Arial" w:hAnsi="Arial"/>
          <w:sz w:val="20"/>
        </w:rPr>
        <w:t>.</w:t>
      </w:r>
    </w:p>
    <w:p w14:paraId="37E2B5CC" w14:textId="77777777" w:rsidR="00141118" w:rsidRPr="0097725F" w:rsidRDefault="00E43F01" w:rsidP="000E0514">
      <w:pPr>
        <w:ind w:left="851" w:hanging="357"/>
        <w:jc w:val="both"/>
        <w:rPr>
          <w:rFonts w:ascii="Arial" w:hAnsi="Arial" w:cs="Arial"/>
          <w:sz w:val="20"/>
        </w:rPr>
      </w:pPr>
      <w:r>
        <w:rPr>
          <w:rFonts w:ascii="Arial" w:hAnsi="Arial"/>
          <w:sz w:val="20"/>
        </w:rPr>
        <w:t>11.</w:t>
      </w:r>
      <w:r>
        <w:rPr>
          <w:rFonts w:ascii="Arial" w:hAnsi="Arial"/>
          <w:sz w:val="20"/>
        </w:rPr>
        <w:tab/>
        <w:t>The Bank reserves the right to limit or exclude the use of the Service from time to time when periodic system upgrades are performed or upgrading or development works are carried out. The Bank shall inform the User about such cases before he/she uses the Service or, at the latest, at the time of commencement of the works if such works are carried out for reasons beyond the Bank’s control.</w:t>
      </w:r>
    </w:p>
    <w:p w14:paraId="0F653605" w14:textId="77777777" w:rsidR="00141118" w:rsidRPr="0097725F" w:rsidRDefault="00E43F01" w:rsidP="000E0514">
      <w:pPr>
        <w:ind w:left="851" w:hanging="357"/>
        <w:jc w:val="both"/>
        <w:rPr>
          <w:rFonts w:ascii="Arial" w:hAnsi="Arial" w:cs="Arial"/>
          <w:sz w:val="20"/>
        </w:rPr>
      </w:pPr>
      <w:r>
        <w:rPr>
          <w:rFonts w:ascii="Arial" w:hAnsi="Arial"/>
          <w:sz w:val="20"/>
        </w:rPr>
        <w:t>12.</w:t>
      </w:r>
      <w:r>
        <w:rPr>
          <w:rFonts w:ascii="Arial" w:hAnsi="Arial"/>
          <w:sz w:val="20"/>
        </w:rPr>
        <w:tab/>
        <w:t>The User may, throughout the period of use of the Service, request that the Regulations be made available in paper form or on another durable medium.</w:t>
      </w:r>
    </w:p>
    <w:p w14:paraId="38D6084D" w14:textId="77777777" w:rsidR="00141118" w:rsidRPr="0097725F" w:rsidRDefault="00E43F01" w:rsidP="000E0514">
      <w:pPr>
        <w:ind w:left="851" w:hanging="357"/>
        <w:jc w:val="both"/>
        <w:rPr>
          <w:rFonts w:ascii="Arial" w:hAnsi="Arial" w:cs="Arial"/>
          <w:sz w:val="20"/>
        </w:rPr>
      </w:pPr>
      <w:r>
        <w:rPr>
          <w:rFonts w:ascii="Arial" w:hAnsi="Arial"/>
          <w:sz w:val="20"/>
        </w:rPr>
        <w:t>13.</w:t>
      </w:r>
      <w:r>
        <w:rPr>
          <w:rFonts w:ascii="Arial" w:hAnsi="Arial"/>
          <w:sz w:val="20"/>
        </w:rPr>
        <w:tab/>
        <w:t>In case of suspicion or detection of an attempted use of the Service by an unauthorised person, the User should immediately bring this fact to the Bank’s attention.</w:t>
      </w:r>
    </w:p>
    <w:p w14:paraId="06094B71" w14:textId="77777777" w:rsidR="00141118" w:rsidRPr="0097725F" w:rsidRDefault="00E43F01" w:rsidP="000E0514">
      <w:pPr>
        <w:ind w:left="851" w:hanging="357"/>
        <w:jc w:val="both"/>
        <w:rPr>
          <w:rFonts w:ascii="Arial" w:hAnsi="Arial" w:cs="Arial"/>
          <w:sz w:val="20"/>
        </w:rPr>
      </w:pPr>
      <w:r>
        <w:rPr>
          <w:rFonts w:ascii="Arial" w:hAnsi="Arial"/>
          <w:sz w:val="20"/>
        </w:rPr>
        <w:t>14.</w:t>
      </w:r>
      <w:r>
        <w:rPr>
          <w:rFonts w:ascii="Arial" w:hAnsi="Arial"/>
          <w:sz w:val="20"/>
        </w:rPr>
        <w:tab/>
        <w:t>The Bank may block the use of the Service where warranted by legitimate reasons related to the secure use of the Service and/or in connection with the suspicion of unauthorised use of the Service and/or intentional processing of an unauthorised payment transaction.</w:t>
      </w:r>
    </w:p>
    <w:p w14:paraId="2D9FDCE2" w14:textId="77777777" w:rsidR="00141118" w:rsidRPr="0097725F" w:rsidRDefault="00E43F01" w:rsidP="000E0514">
      <w:pPr>
        <w:ind w:left="851" w:hanging="357"/>
        <w:jc w:val="both"/>
        <w:rPr>
          <w:rFonts w:ascii="Arial" w:hAnsi="Arial" w:cs="Arial"/>
          <w:sz w:val="20"/>
        </w:rPr>
      </w:pPr>
      <w:r>
        <w:rPr>
          <w:rFonts w:ascii="Arial" w:hAnsi="Arial"/>
          <w:sz w:val="20"/>
        </w:rPr>
        <w:t>15.</w:t>
      </w:r>
      <w:r>
        <w:rPr>
          <w:rFonts w:ascii="Arial" w:hAnsi="Arial"/>
          <w:sz w:val="20"/>
        </w:rPr>
        <w:tab/>
        <w:t>The Regulations, insofar as they relate to the terms and conditions for the provision of electronic services by the Bank, shall be the regulations referred to in the Act of 18 July 2002 on the provision of electronic services.</w:t>
      </w:r>
    </w:p>
    <w:p w14:paraId="68E991BB" w14:textId="77777777" w:rsidR="00141118" w:rsidRPr="0097725F" w:rsidRDefault="00E43F01" w:rsidP="000E0514">
      <w:pPr>
        <w:ind w:left="851" w:hanging="357"/>
        <w:jc w:val="both"/>
        <w:rPr>
          <w:rFonts w:ascii="Arial" w:hAnsi="Arial" w:cs="Arial"/>
          <w:sz w:val="20"/>
        </w:rPr>
      </w:pPr>
      <w:r>
        <w:rPr>
          <w:rFonts w:ascii="Arial" w:hAnsi="Arial"/>
          <w:sz w:val="20"/>
        </w:rPr>
        <w:t>16.</w:t>
      </w:r>
      <w:r>
        <w:rPr>
          <w:rFonts w:ascii="Arial" w:hAnsi="Arial"/>
          <w:sz w:val="20"/>
        </w:rPr>
        <w:tab/>
        <w:t>The Bank advises that:</w:t>
      </w:r>
    </w:p>
    <w:p w14:paraId="6388A5A6" w14:textId="77777777" w:rsidR="00141118" w:rsidRPr="0097725F" w:rsidRDefault="00E43F01" w:rsidP="000E0514">
      <w:pPr>
        <w:spacing w:before="240"/>
        <w:ind w:left="1134" w:hanging="357"/>
        <w:jc w:val="both"/>
        <w:rPr>
          <w:rFonts w:ascii="Arial" w:hAnsi="Arial" w:cs="Arial"/>
          <w:sz w:val="20"/>
        </w:rPr>
      </w:pPr>
      <w:r>
        <w:rPr>
          <w:rFonts w:ascii="Arial" w:hAnsi="Arial"/>
          <w:sz w:val="20"/>
        </w:rPr>
        <w:t>1)</w:t>
      </w:r>
      <w:r>
        <w:rPr>
          <w:rFonts w:ascii="Arial" w:hAnsi="Arial"/>
          <w:sz w:val="20"/>
        </w:rPr>
        <w:tab/>
        <w:t>the President of the Office for Competition and Consumer Protection is the competent authority in matters of consumer protection, and the Polish Financial Supervision Authority supervises the Bank’s activities,</w:t>
      </w:r>
    </w:p>
    <w:p w14:paraId="0C47AEAB" w14:textId="77777777" w:rsidR="00141118" w:rsidRPr="0097725F" w:rsidRDefault="00E43F01" w:rsidP="000E0514">
      <w:pPr>
        <w:ind w:left="1134" w:hanging="357"/>
        <w:jc w:val="both"/>
        <w:rPr>
          <w:rFonts w:ascii="Arial" w:hAnsi="Arial" w:cs="Arial"/>
          <w:sz w:val="20"/>
        </w:rPr>
      </w:pPr>
      <w:r>
        <w:rPr>
          <w:rFonts w:ascii="Arial" w:hAnsi="Arial"/>
          <w:sz w:val="20"/>
        </w:rPr>
        <w:t>2)</w:t>
      </w:r>
      <w:r>
        <w:rPr>
          <w:rFonts w:ascii="Arial" w:hAnsi="Arial"/>
          <w:sz w:val="20"/>
        </w:rPr>
        <w:tab/>
        <w:t>in individual cases, consumers may obtain free legal assistance from municipal or district consumer ombudsmen,</w:t>
      </w:r>
    </w:p>
    <w:p w14:paraId="35049609" w14:textId="61D71B3F" w:rsidR="00141118" w:rsidRPr="0097725F" w:rsidRDefault="00E43F01" w:rsidP="000E0514">
      <w:pPr>
        <w:ind w:left="1134" w:hanging="357"/>
        <w:jc w:val="both"/>
        <w:rPr>
          <w:rFonts w:ascii="Arial" w:hAnsi="Arial" w:cs="Arial"/>
          <w:sz w:val="20"/>
        </w:rPr>
      </w:pPr>
      <w:r>
        <w:rPr>
          <w:rFonts w:ascii="Arial" w:hAnsi="Arial"/>
          <w:sz w:val="20"/>
        </w:rPr>
        <w:t>3)</w:t>
      </w:r>
      <w:r>
        <w:rPr>
          <w:rFonts w:ascii="Arial" w:hAnsi="Arial"/>
          <w:sz w:val="20"/>
        </w:rPr>
        <w:tab/>
        <w:t>the following entity shall be competent for out-of-court resolution of consumer disputes with the Bank:</w:t>
      </w:r>
    </w:p>
    <w:p w14:paraId="0BFCAECA" w14:textId="6EE5096A" w:rsidR="00141118" w:rsidRPr="0097725F" w:rsidRDefault="00E43F01" w:rsidP="000E0514">
      <w:pPr>
        <w:ind w:left="1134" w:hanging="357"/>
        <w:jc w:val="both"/>
        <w:rPr>
          <w:rFonts w:ascii="Arial" w:hAnsi="Arial" w:cs="Arial"/>
          <w:sz w:val="20"/>
        </w:rPr>
      </w:pPr>
      <w:r>
        <w:rPr>
          <w:rFonts w:ascii="Arial" w:hAnsi="Arial"/>
          <w:sz w:val="20"/>
        </w:rPr>
        <w:t>i.</w:t>
      </w:r>
      <w:r>
        <w:rPr>
          <w:rFonts w:ascii="Arial" w:hAnsi="Arial"/>
          <w:sz w:val="20"/>
        </w:rPr>
        <w:tab/>
        <w:t xml:space="preserve">where the Bank has undertaken to use this procedure: the Bank Arbitrator of the Polish Bank Association (the entity’s website address at: https://zbp.pl/dla-konsumentow/arbiter-bankowy/dzialalnosc or another tab of the website </w:t>
      </w:r>
      <w:r>
        <w:rPr>
          <w:rFonts w:ascii="Arial" w:hAnsi="Arial"/>
          <w:color w:val="0000FF"/>
          <w:sz w:val="20"/>
          <w:u w:val="single"/>
        </w:rPr>
        <w:t>www.zbp.pl</w:t>
      </w:r>
      <w:r>
        <w:rPr>
          <w:rFonts w:ascii="Arial" w:hAnsi="Arial"/>
          <w:sz w:val="20"/>
        </w:rPr>
        <w:t>),</w:t>
      </w:r>
    </w:p>
    <w:p w14:paraId="235A7540" w14:textId="085CEF79" w:rsidR="00141118" w:rsidRPr="0097725F" w:rsidRDefault="00E43F01" w:rsidP="000E0514">
      <w:pPr>
        <w:ind w:left="1134" w:hanging="357"/>
        <w:jc w:val="both"/>
        <w:rPr>
          <w:rFonts w:ascii="Arial" w:hAnsi="Arial" w:cs="Arial"/>
          <w:sz w:val="20"/>
        </w:rPr>
      </w:pPr>
      <w:r>
        <w:rPr>
          <w:rFonts w:ascii="Arial" w:hAnsi="Arial"/>
          <w:sz w:val="20"/>
        </w:rPr>
        <w:t>ii.</w:t>
      </w:r>
      <w:r>
        <w:rPr>
          <w:rFonts w:ascii="Arial" w:hAnsi="Arial"/>
          <w:sz w:val="20"/>
        </w:rPr>
        <w:tab/>
        <w:t xml:space="preserve">where the Bank is obliged to use this procedure under the Act of 5 August 2015 on the handling of complaints by financial market entities and the Financial Ombudsman: the Financial Ombudsman (the entity’s website address: </w:t>
      </w:r>
      <w:r>
        <w:rPr>
          <w:rFonts w:ascii="Arial" w:hAnsi="Arial"/>
          <w:color w:val="0000FF"/>
          <w:sz w:val="20"/>
          <w:u w:val="single"/>
        </w:rPr>
        <w:t>https://rf.gov.pl/polubowne</w:t>
      </w:r>
      <w:r>
        <w:rPr>
          <w:rFonts w:ascii="Arial" w:hAnsi="Arial"/>
          <w:sz w:val="20"/>
        </w:rPr>
        <w:t>). The User may resort to out-of-court resolution of his/her dispute with the Bank based on the respective entity’s applicable procedures that are available on the aforementioned websites.</w:t>
      </w:r>
    </w:p>
    <w:p w14:paraId="6050DB02" w14:textId="6E7BA024" w:rsidR="00141118" w:rsidRPr="0097725F" w:rsidRDefault="00E43F01" w:rsidP="000E0514">
      <w:pPr>
        <w:ind w:left="1134" w:hanging="357"/>
        <w:jc w:val="both"/>
        <w:rPr>
          <w:rFonts w:ascii="Arial" w:hAnsi="Arial" w:cs="Arial"/>
          <w:sz w:val="20"/>
        </w:rPr>
      </w:pPr>
      <w:r>
        <w:rPr>
          <w:rFonts w:ascii="Arial" w:hAnsi="Arial"/>
          <w:sz w:val="20"/>
        </w:rPr>
        <w:t>iii.</w:t>
      </w:r>
      <w:r>
        <w:rPr>
          <w:rFonts w:ascii="Arial" w:hAnsi="Arial"/>
          <w:sz w:val="20"/>
        </w:rPr>
        <w:tab/>
        <w:t xml:space="preserve">The User may resort to out-of-court dispute resolution by the Court of Arbitration at the Polish Financial Supervision Authority in accordance with the procedures available on the entity’s website: </w:t>
      </w:r>
      <w:r>
        <w:rPr>
          <w:rFonts w:ascii="Arial" w:hAnsi="Arial"/>
          <w:color w:val="0000FF"/>
          <w:sz w:val="20"/>
          <w:u w:val="single"/>
        </w:rPr>
        <w:t>https://www.knf.gov.pl/dla_rynku/sad_polubowny_przy_KNF</w:t>
      </w:r>
      <w:r>
        <w:rPr>
          <w:rFonts w:ascii="Arial" w:hAnsi="Arial"/>
          <w:sz w:val="20"/>
        </w:rPr>
        <w:t xml:space="preserve"> or on another tab of the website www.knf.gov.pl.</w:t>
      </w:r>
    </w:p>
    <w:p w14:paraId="18EED5DD" w14:textId="488E0D11" w:rsidR="00141118" w:rsidRPr="0097725F" w:rsidRDefault="00E43F01" w:rsidP="000E0514">
      <w:pPr>
        <w:ind w:left="851" w:hanging="357"/>
        <w:jc w:val="both"/>
        <w:rPr>
          <w:rFonts w:ascii="Arial" w:hAnsi="Arial" w:cs="Arial"/>
          <w:sz w:val="20"/>
        </w:rPr>
      </w:pPr>
      <w:r>
        <w:rPr>
          <w:rFonts w:ascii="Arial" w:hAnsi="Arial"/>
          <w:sz w:val="20"/>
        </w:rPr>
        <w:t>17.</w:t>
      </w:r>
      <w:r>
        <w:rPr>
          <w:rFonts w:ascii="Arial" w:hAnsi="Arial"/>
          <w:sz w:val="20"/>
        </w:rPr>
        <w:tab/>
        <w:t xml:space="preserve">The User may use the ODR platform (an EU online platform for settling disputes </w:t>
      </w:r>
      <w:r>
        <w:rPr>
          <w:rFonts w:ascii="Arial" w:hAnsi="Arial"/>
          <w:sz w:val="20"/>
        </w:rPr>
        <w:lastRenderedPageBreak/>
        <w:t>between consumers and traders available at the following address: http://ec.europa.eu/consumers/odr/) to resolve disputes with respect to the Service agreement concluded electronically. The ODR platform may be used by the User to lodge a complaint with an authorised entity (a dispute resolution body that handles complaints out of court). Detailed information about the conditions for submitting a dispute for resolution with one of the entities specified above is available on their respective websites.</w:t>
      </w:r>
    </w:p>
    <w:p w14:paraId="1D8F359C" w14:textId="77777777" w:rsidR="00141118" w:rsidRPr="0097725F" w:rsidRDefault="00E43F01" w:rsidP="000E0514">
      <w:pPr>
        <w:ind w:left="851" w:hanging="357"/>
        <w:jc w:val="both"/>
        <w:rPr>
          <w:rFonts w:ascii="Arial" w:hAnsi="Arial" w:cs="Arial"/>
          <w:sz w:val="20"/>
        </w:rPr>
      </w:pPr>
      <w:r>
        <w:rPr>
          <w:rFonts w:ascii="Arial" w:hAnsi="Arial"/>
          <w:sz w:val="20"/>
        </w:rPr>
        <w:t>18.</w:t>
      </w:r>
      <w:r>
        <w:rPr>
          <w:rFonts w:ascii="Arial" w:hAnsi="Arial"/>
          <w:sz w:val="20"/>
        </w:rPr>
        <w:tab/>
        <w:t>The Regulations shall become effective on 15 March 2022.</w:t>
      </w:r>
    </w:p>
    <w:p w14:paraId="61F9E637" w14:textId="77777777" w:rsidR="0039597C" w:rsidRDefault="0039597C" w:rsidP="0097725F">
      <w:pPr>
        <w:spacing w:before="240"/>
        <w:jc w:val="both"/>
        <w:outlineLvl w:val="1"/>
        <w:rPr>
          <w:rFonts w:ascii="Arial" w:hAnsi="Arial" w:cs="Arial"/>
          <w:b/>
          <w:bCs/>
          <w:sz w:val="20"/>
        </w:rPr>
      </w:pPr>
      <w:bookmarkStart w:id="28" w:name="bookmark27"/>
      <w:bookmarkStart w:id="29" w:name="bookmark28"/>
      <w:r>
        <w:br w:type="page"/>
      </w:r>
    </w:p>
    <w:p w14:paraId="1A086F9A" w14:textId="6DF4C36C" w:rsidR="00141118" w:rsidRPr="0097725F" w:rsidRDefault="00E43F01" w:rsidP="00410B77">
      <w:pPr>
        <w:spacing w:before="240" w:after="360"/>
        <w:jc w:val="center"/>
        <w:outlineLvl w:val="1"/>
        <w:rPr>
          <w:rFonts w:ascii="Arial" w:hAnsi="Arial" w:cs="Arial"/>
          <w:sz w:val="20"/>
        </w:rPr>
      </w:pPr>
      <w:r>
        <w:rPr>
          <w:rFonts w:ascii="Arial" w:hAnsi="Arial"/>
          <w:b/>
          <w:sz w:val="20"/>
        </w:rPr>
        <w:lastRenderedPageBreak/>
        <w:t>Appendix No. 1 to the Open Banking Regulations at BNP Paribas Bank Polska S.A.</w:t>
      </w:r>
      <w:bookmarkEnd w:id="28"/>
      <w:bookmarkEnd w:id="29"/>
    </w:p>
    <w:p w14:paraId="50AE16D3" w14:textId="77777777" w:rsidR="00141118" w:rsidRPr="0097725F" w:rsidRDefault="00E43F01" w:rsidP="00C92616">
      <w:pPr>
        <w:spacing w:before="120"/>
        <w:jc w:val="both"/>
        <w:rPr>
          <w:rFonts w:ascii="Arial" w:hAnsi="Arial" w:cs="Arial"/>
          <w:sz w:val="20"/>
        </w:rPr>
      </w:pPr>
      <w:r>
        <w:rPr>
          <w:rFonts w:ascii="Arial" w:hAnsi="Arial"/>
          <w:sz w:val="20"/>
        </w:rPr>
        <w:t>Full name</w:t>
      </w:r>
    </w:p>
    <w:p w14:paraId="41AE791D" w14:textId="6E7648E1" w:rsidR="00141118" w:rsidRPr="0097725F" w:rsidRDefault="00E43F01" w:rsidP="00C92616">
      <w:pPr>
        <w:spacing w:before="120"/>
        <w:jc w:val="both"/>
        <w:rPr>
          <w:rFonts w:ascii="Arial" w:hAnsi="Arial" w:cs="Arial"/>
          <w:sz w:val="20"/>
        </w:rPr>
      </w:pPr>
      <w:r>
        <w:rPr>
          <w:rFonts w:ascii="Arial" w:hAnsi="Arial"/>
          <w:sz w:val="20"/>
        </w:rPr>
        <w:t>PESEL (National Identification Number)</w:t>
      </w:r>
    </w:p>
    <w:p w14:paraId="5D692CEB" w14:textId="77777777" w:rsidR="00141118" w:rsidRPr="0097725F" w:rsidRDefault="00E43F01" w:rsidP="00C92616">
      <w:pPr>
        <w:spacing w:before="120"/>
        <w:jc w:val="both"/>
        <w:rPr>
          <w:rFonts w:ascii="Arial" w:hAnsi="Arial" w:cs="Arial"/>
          <w:sz w:val="20"/>
        </w:rPr>
      </w:pPr>
      <w:r>
        <w:rPr>
          <w:rFonts w:ascii="Arial" w:hAnsi="Arial"/>
          <w:sz w:val="20"/>
        </w:rPr>
        <w:t>Email address</w:t>
      </w:r>
    </w:p>
    <w:p w14:paraId="26ED15FB" w14:textId="77777777" w:rsidR="00141118" w:rsidRPr="0097725F" w:rsidRDefault="00E43F01" w:rsidP="00410B77">
      <w:pPr>
        <w:spacing w:before="120" w:after="360"/>
        <w:jc w:val="both"/>
        <w:rPr>
          <w:rFonts w:ascii="Arial" w:hAnsi="Arial" w:cs="Arial"/>
          <w:sz w:val="20"/>
        </w:rPr>
      </w:pPr>
      <w:r>
        <w:rPr>
          <w:rFonts w:ascii="Arial" w:hAnsi="Arial"/>
          <w:sz w:val="20"/>
        </w:rPr>
        <w:t>Telephone number</w:t>
      </w:r>
    </w:p>
    <w:p w14:paraId="7070F328" w14:textId="77777777" w:rsidR="00141118" w:rsidRPr="0097725F" w:rsidRDefault="00E43F01" w:rsidP="00410B77">
      <w:pPr>
        <w:spacing w:before="240" w:after="360"/>
        <w:jc w:val="both"/>
        <w:rPr>
          <w:rFonts w:ascii="Arial" w:hAnsi="Arial" w:cs="Arial"/>
          <w:sz w:val="20"/>
        </w:rPr>
      </w:pPr>
      <w:r>
        <w:rPr>
          <w:rFonts w:ascii="Arial" w:hAnsi="Arial"/>
          <w:sz w:val="20"/>
        </w:rPr>
        <w:t>Declaration of withdrawal from the Open Banking Service Agreement with BNP Paribas Bank Polska S.A.</w:t>
      </w:r>
    </w:p>
    <w:p w14:paraId="38835587" w14:textId="1D314DB3" w:rsidR="00141118" w:rsidRPr="0097725F" w:rsidRDefault="00E43F01" w:rsidP="0039597C">
      <w:pPr>
        <w:spacing w:before="240" w:after="1200"/>
        <w:ind w:firstLine="709"/>
        <w:jc w:val="both"/>
        <w:rPr>
          <w:rFonts w:ascii="Arial" w:hAnsi="Arial" w:cs="Arial"/>
          <w:sz w:val="20"/>
        </w:rPr>
      </w:pPr>
      <w:r>
        <w:rPr>
          <w:rFonts w:ascii="Arial" w:hAnsi="Arial"/>
          <w:sz w:val="20"/>
        </w:rPr>
        <w:t>I hereby declare my withdrawal from the Open Banking Service Agreement with BNP Paribas Bank Polska S.A. governed by the Open Banking Service Regulations at BNP Paribas Bank Polska S.A.</w:t>
      </w:r>
    </w:p>
    <w:tbl>
      <w:tblPr>
        <w:tblOverlap w:val="never"/>
        <w:tblW w:w="5000" w:type="pct"/>
        <w:jc w:val="center"/>
        <w:tblCellMar>
          <w:left w:w="0" w:type="dxa"/>
          <w:right w:w="0" w:type="dxa"/>
        </w:tblCellMar>
        <w:tblLook w:val="04A0" w:firstRow="1" w:lastRow="0" w:firstColumn="1" w:lastColumn="0" w:noHBand="0" w:noVBand="1"/>
      </w:tblPr>
      <w:tblGrid>
        <w:gridCol w:w="4877"/>
        <w:gridCol w:w="4878"/>
      </w:tblGrid>
      <w:tr w:rsidR="00141118" w:rsidRPr="0097725F" w14:paraId="3FD7A4FF" w14:textId="77777777" w:rsidTr="0039597C">
        <w:trPr>
          <w:jc w:val="center"/>
        </w:trPr>
        <w:tc>
          <w:tcPr>
            <w:tcW w:w="2500" w:type="pct"/>
            <w:shd w:val="clear" w:color="auto" w:fill="FFFFFF"/>
          </w:tcPr>
          <w:p w14:paraId="2174FFB3" w14:textId="77777777" w:rsidR="00141118" w:rsidRPr="0097725F" w:rsidRDefault="00E43F01" w:rsidP="0039597C">
            <w:pPr>
              <w:ind w:left="36" w:right="36"/>
              <w:jc w:val="center"/>
              <w:rPr>
                <w:rFonts w:ascii="Arial" w:hAnsi="Arial" w:cs="Arial"/>
                <w:sz w:val="20"/>
              </w:rPr>
            </w:pPr>
            <w:r>
              <w:rPr>
                <w:rFonts w:ascii="Arial" w:hAnsi="Arial"/>
                <w:sz w:val="20"/>
              </w:rPr>
              <w:t>Date</w:t>
            </w:r>
          </w:p>
        </w:tc>
        <w:tc>
          <w:tcPr>
            <w:tcW w:w="2500" w:type="pct"/>
            <w:shd w:val="clear" w:color="auto" w:fill="FFFFFF"/>
          </w:tcPr>
          <w:p w14:paraId="20823FD5" w14:textId="77777777" w:rsidR="00141118" w:rsidRPr="0097725F" w:rsidRDefault="00E43F01" w:rsidP="0039597C">
            <w:pPr>
              <w:ind w:left="36" w:right="36"/>
              <w:jc w:val="center"/>
              <w:rPr>
                <w:rFonts w:ascii="Arial" w:hAnsi="Arial" w:cs="Arial"/>
                <w:sz w:val="20"/>
              </w:rPr>
            </w:pPr>
            <w:r>
              <w:rPr>
                <w:rFonts w:ascii="Arial" w:hAnsi="Arial"/>
                <w:sz w:val="20"/>
              </w:rPr>
              <w:t>Signature</w:t>
            </w:r>
          </w:p>
        </w:tc>
      </w:tr>
    </w:tbl>
    <w:p w14:paraId="4EE1A393" w14:textId="77777777" w:rsidR="00696007" w:rsidRPr="0097725F" w:rsidRDefault="00696007" w:rsidP="0097725F">
      <w:pPr>
        <w:spacing w:before="240"/>
        <w:jc w:val="both"/>
        <w:rPr>
          <w:rFonts w:ascii="Arial" w:hAnsi="Arial" w:cs="Arial"/>
          <w:sz w:val="20"/>
        </w:rPr>
      </w:pPr>
    </w:p>
    <w:sectPr w:rsidR="00696007" w:rsidRPr="0097725F" w:rsidSect="00434CF3">
      <w:headerReference w:type="default" r:id="rId7"/>
      <w:footerReference w:type="default" r:id="rId8"/>
      <w:headerReference w:type="first" r:id="rId9"/>
      <w:footerReference w:type="first" r:id="rId10"/>
      <w:type w:val="continuous"/>
      <w:pgSz w:w="11909" w:h="16840"/>
      <w:pgMar w:top="1440" w:right="1077" w:bottom="1440" w:left="1077"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CD306" w14:textId="77777777" w:rsidR="00696007" w:rsidRDefault="00696007">
      <w:r>
        <w:separator/>
      </w:r>
    </w:p>
  </w:endnote>
  <w:endnote w:type="continuationSeparator" w:id="0">
    <w:p w14:paraId="4D911F9C" w14:textId="77777777" w:rsidR="00696007" w:rsidRDefault="00696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EE"/>
    <w:family w:val="swiss"/>
    <w:pitch w:val="variable"/>
    <w:sig w:usb0="E5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8CC9E" w14:textId="24FB46D1" w:rsidR="002D6E4D" w:rsidRPr="002D6E4D" w:rsidRDefault="002D6E4D" w:rsidP="002D6E4D">
    <w:pPr>
      <w:spacing w:before="240"/>
      <w:jc w:val="both"/>
      <w:rPr>
        <w:rFonts w:ascii="Arial" w:hAnsi="Arial" w:cs="Arial"/>
        <w:sz w:val="16"/>
        <w:szCs w:val="16"/>
      </w:rPr>
    </w:pPr>
    <w:r>
      <w:rPr>
        <w:rFonts w:ascii="Arial" w:hAnsi="Arial"/>
        <w:sz w:val="16"/>
      </w:rPr>
      <w:t xml:space="preserve">page </w:t>
    </w:r>
    <w:r w:rsidRPr="002D6E4D">
      <w:rPr>
        <w:rFonts w:ascii="Arial" w:hAnsi="Arial" w:cs="Arial"/>
        <w:b/>
        <w:sz w:val="16"/>
      </w:rPr>
      <w:fldChar w:fldCharType="begin"/>
    </w:r>
    <w:r w:rsidRPr="002D6E4D">
      <w:rPr>
        <w:rFonts w:ascii="Arial" w:hAnsi="Arial" w:cs="Arial"/>
        <w:b/>
        <w:sz w:val="16"/>
      </w:rPr>
      <w:instrText xml:space="preserve"> PAGE   \* MERGEFORMAT </w:instrText>
    </w:r>
    <w:r w:rsidRPr="002D6E4D">
      <w:rPr>
        <w:rFonts w:ascii="Arial" w:hAnsi="Arial" w:cs="Arial"/>
        <w:b/>
        <w:sz w:val="16"/>
      </w:rPr>
      <w:fldChar w:fldCharType="separate"/>
    </w:r>
    <w:r w:rsidR="00FB5127">
      <w:rPr>
        <w:rFonts w:ascii="Arial" w:hAnsi="Arial" w:cs="Arial"/>
        <w:b/>
        <w:noProof/>
        <w:sz w:val="16"/>
      </w:rPr>
      <w:t>2</w:t>
    </w:r>
    <w:r w:rsidRPr="002D6E4D">
      <w:rPr>
        <w:rFonts w:ascii="Arial" w:hAnsi="Arial" w:cs="Arial"/>
        <w:b/>
        <w:sz w:val="16"/>
      </w:rPr>
      <w:fldChar w:fldCharType="end"/>
    </w:r>
    <w:r>
      <w:rPr>
        <w:rFonts w:ascii="Arial" w:hAnsi="Arial"/>
        <w:b/>
        <w:sz w:val="16"/>
      </w:rPr>
      <w:t xml:space="preserve"> </w:t>
    </w:r>
    <w:r>
      <w:rPr>
        <w:rFonts w:ascii="Arial" w:hAnsi="Arial"/>
        <w:sz w:val="16"/>
      </w:rPr>
      <w:t>of</w:t>
    </w:r>
    <w:r>
      <w:rPr>
        <w:rFonts w:ascii="Arial" w:hAnsi="Arial"/>
        <w:b/>
        <w:sz w:val="16"/>
      </w:rPr>
      <w:t xml:space="preserve"> </w:t>
    </w:r>
    <w:r w:rsidRPr="002D6E4D">
      <w:rPr>
        <w:rFonts w:ascii="Arial" w:hAnsi="Arial" w:cs="Arial"/>
        <w:b/>
        <w:sz w:val="16"/>
      </w:rPr>
      <w:fldChar w:fldCharType="begin"/>
    </w:r>
    <w:r w:rsidRPr="002D6E4D">
      <w:rPr>
        <w:rFonts w:ascii="Arial" w:hAnsi="Arial" w:cs="Arial"/>
        <w:b/>
        <w:sz w:val="16"/>
      </w:rPr>
      <w:instrText xml:space="preserve"> NUMPAGES   \* MERGEFORMAT </w:instrText>
    </w:r>
    <w:r w:rsidRPr="002D6E4D">
      <w:rPr>
        <w:rFonts w:ascii="Arial" w:hAnsi="Arial" w:cs="Arial"/>
        <w:b/>
        <w:sz w:val="16"/>
      </w:rPr>
      <w:fldChar w:fldCharType="separate"/>
    </w:r>
    <w:r w:rsidR="00FB5127">
      <w:rPr>
        <w:rFonts w:ascii="Arial" w:hAnsi="Arial" w:cs="Arial"/>
        <w:b/>
        <w:noProof/>
        <w:sz w:val="16"/>
      </w:rPr>
      <w:t>7</w:t>
    </w:r>
    <w:r w:rsidRPr="002D6E4D">
      <w:rPr>
        <w:rFonts w:ascii="Arial" w:hAnsi="Arial" w:cs="Arial"/>
        <w:b/>
        <w:sz w:val="16"/>
      </w:rPr>
      <w:fldChar w:fldCharType="end"/>
    </w:r>
  </w:p>
  <w:p w14:paraId="670651F5" w14:textId="77777777" w:rsidR="002D6E4D" w:rsidRDefault="002D6E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1A4C2" w14:textId="77777777" w:rsidR="00EA3595" w:rsidRPr="00EA3595" w:rsidRDefault="00EA3595" w:rsidP="00EA3595">
    <w:pPr>
      <w:spacing w:before="240"/>
      <w:jc w:val="both"/>
      <w:rPr>
        <w:rFonts w:ascii="Arial" w:hAnsi="Arial" w:cs="Arial"/>
        <w:sz w:val="16"/>
        <w:szCs w:val="16"/>
      </w:rPr>
    </w:pPr>
    <w:r>
      <w:rPr>
        <w:rFonts w:ascii="Arial" w:hAnsi="Arial"/>
        <w:b/>
        <w:sz w:val="16"/>
      </w:rPr>
      <w:t>BNP Paribas Bank Polska Spółka Akcyjna</w:t>
    </w:r>
    <w:r>
      <w:rPr>
        <w:rFonts w:ascii="Arial" w:hAnsi="Arial"/>
        <w:sz w:val="16"/>
      </w:rPr>
      <w:t>, with its registered office in Warsaw, ul. Kasprzaka 2, 01-211 Warsaw, entered into the Register of Entrepreneurs of the National Court Register (KRS) kept by the District Court for the Capital City of Warsaw in Warsaw, 13th Commercial Division of the National Court Register, under KRS number: 0000011571, Tax Identification Number (NIP): 526-10-08-546, share capital of PLN 147,518,782, fully paid-up.</w:t>
    </w:r>
  </w:p>
  <w:p w14:paraId="012479CF" w14:textId="77777777" w:rsidR="00EA3595" w:rsidRDefault="00EA35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F6CEC" w14:textId="77777777" w:rsidR="00696007" w:rsidRDefault="00696007"/>
  </w:footnote>
  <w:footnote w:type="continuationSeparator" w:id="0">
    <w:p w14:paraId="4C930BD8" w14:textId="77777777" w:rsidR="00696007" w:rsidRDefault="0069600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A914A" w14:textId="7ED5B4D7" w:rsidR="002D6E4D" w:rsidRDefault="002D6E4D">
    <w:pPr>
      <w:pStyle w:val="Nagwek"/>
    </w:pPr>
  </w:p>
  <w:p w14:paraId="557397D3" w14:textId="77777777" w:rsidR="002D6E4D" w:rsidRPr="0097725F" w:rsidRDefault="002D6E4D" w:rsidP="002D6E4D">
    <w:pPr>
      <w:spacing w:before="240"/>
      <w:jc w:val="both"/>
      <w:rPr>
        <w:rFonts w:ascii="Arial" w:hAnsi="Arial" w:cs="Arial"/>
        <w:sz w:val="20"/>
        <w:szCs w:val="2"/>
      </w:rPr>
    </w:pPr>
    <w:r>
      <w:rPr>
        <w:rFonts w:ascii="Arial" w:hAnsi="Arial"/>
        <w:noProof/>
        <w:sz w:val="20"/>
        <w:lang w:val="pl-PL" w:bidi="ar-SA"/>
      </w:rPr>
      <w:drawing>
        <wp:inline distT="0" distB="0" distL="0" distR="0" wp14:anchorId="4E946D7E" wp14:editId="2F394D92">
          <wp:extent cx="478790" cy="481330"/>
          <wp:effectExtent l="0" t="0" r="0" b="0"/>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pic:blipFill>
                <pic:spPr>
                  <a:xfrm>
                    <a:off x="0" y="0"/>
                    <a:ext cx="478790" cy="481330"/>
                  </a:xfrm>
                  <a:prstGeom prst="rect">
                    <a:avLst/>
                  </a:prstGeom>
                </pic:spPr>
              </pic:pic>
            </a:graphicData>
          </a:graphic>
        </wp:inline>
      </w:drawing>
    </w:r>
  </w:p>
  <w:p w14:paraId="678787DA" w14:textId="77777777" w:rsidR="002D6E4D" w:rsidRDefault="002D6E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4E49E" w14:textId="734A47E1" w:rsidR="00434CF3" w:rsidRDefault="00434CF3">
    <w:pPr>
      <w:pStyle w:val="Nagwek"/>
    </w:pPr>
  </w:p>
  <w:tbl>
    <w:tblPr>
      <w:tblOverlap w:val="never"/>
      <w:tblW w:w="5000" w:type="pct"/>
      <w:tblCellMar>
        <w:left w:w="0" w:type="dxa"/>
        <w:right w:w="0" w:type="dxa"/>
      </w:tblCellMar>
      <w:tblLook w:val="04A0" w:firstRow="1" w:lastRow="0" w:firstColumn="1" w:lastColumn="0" w:noHBand="0" w:noVBand="1"/>
    </w:tblPr>
    <w:tblGrid>
      <w:gridCol w:w="6946"/>
      <w:gridCol w:w="2809"/>
    </w:tblGrid>
    <w:tr w:rsidR="008609D5" w:rsidRPr="0097725F" w14:paraId="0675026C" w14:textId="77777777" w:rsidTr="008609D5">
      <w:tc>
        <w:tcPr>
          <w:tcW w:w="3560" w:type="pct"/>
          <w:shd w:val="clear" w:color="auto" w:fill="FFFFFF"/>
        </w:tcPr>
        <w:p w14:paraId="0CFB34D4" w14:textId="77777777" w:rsidR="00434CF3" w:rsidRPr="0097725F" w:rsidRDefault="00434CF3" w:rsidP="00434CF3">
          <w:pPr>
            <w:ind w:left="36" w:right="36"/>
            <w:rPr>
              <w:rFonts w:ascii="Arial" w:hAnsi="Arial" w:cs="Arial"/>
              <w:sz w:val="20"/>
              <w:szCs w:val="2"/>
            </w:rPr>
          </w:pPr>
          <w:r>
            <w:rPr>
              <w:rFonts w:ascii="Arial" w:hAnsi="Arial"/>
              <w:noProof/>
              <w:sz w:val="20"/>
              <w:lang w:val="pl-PL" w:bidi="ar-SA"/>
            </w:rPr>
            <w:drawing>
              <wp:inline distT="0" distB="0" distL="0" distR="0" wp14:anchorId="51EAAE51" wp14:editId="332E4566">
                <wp:extent cx="2350135" cy="60960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pic:blipFill>
                      <pic:spPr>
                        <a:xfrm>
                          <a:off x="0" y="0"/>
                          <a:ext cx="2350135" cy="609600"/>
                        </a:xfrm>
                        <a:prstGeom prst="rect">
                          <a:avLst/>
                        </a:prstGeom>
                      </pic:spPr>
                    </pic:pic>
                  </a:graphicData>
                </a:graphic>
              </wp:inline>
            </w:drawing>
          </w:r>
        </w:p>
      </w:tc>
      <w:tc>
        <w:tcPr>
          <w:tcW w:w="1440" w:type="pct"/>
          <w:shd w:val="clear" w:color="auto" w:fill="FFFFFF"/>
        </w:tcPr>
        <w:p w14:paraId="1C265AC5" w14:textId="733B9FA2" w:rsidR="00434CF3" w:rsidRPr="00434CF3" w:rsidRDefault="00434CF3" w:rsidP="00434CF3">
          <w:pPr>
            <w:ind w:left="36" w:right="36"/>
            <w:jc w:val="right"/>
            <w:rPr>
              <w:rFonts w:ascii="Arial" w:hAnsi="Arial" w:cs="Arial"/>
              <w:sz w:val="32"/>
              <w:szCs w:val="32"/>
            </w:rPr>
          </w:pPr>
          <w:r>
            <w:rPr>
              <w:rFonts w:ascii="Arial" w:hAnsi="Arial"/>
              <w:sz w:val="32"/>
            </w:rPr>
            <w:t>The bank for a</w:t>
          </w:r>
          <w:r w:rsidR="00E03949">
            <w:rPr>
              <w:rFonts w:ascii="Arial" w:hAnsi="Arial"/>
              <w:sz w:val="32"/>
            </w:rPr>
            <w:t> </w:t>
          </w:r>
          <w:r>
            <w:rPr>
              <w:rFonts w:ascii="Arial" w:hAnsi="Arial"/>
              <w:sz w:val="32"/>
            </w:rPr>
            <w:t>changing world</w:t>
          </w:r>
        </w:p>
      </w:tc>
    </w:tr>
  </w:tbl>
  <w:p w14:paraId="03B46892" w14:textId="77777777" w:rsidR="00434CF3" w:rsidRDefault="00434C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A721A"/>
    <w:multiLevelType w:val="hybridMultilevel"/>
    <w:tmpl w:val="3AD0B1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118"/>
    <w:rsid w:val="000E0514"/>
    <w:rsid w:val="0010059F"/>
    <w:rsid w:val="00141118"/>
    <w:rsid w:val="002C5DBD"/>
    <w:rsid w:val="002D6E4D"/>
    <w:rsid w:val="0039597C"/>
    <w:rsid w:val="00410B77"/>
    <w:rsid w:val="00434CF3"/>
    <w:rsid w:val="005A5DB2"/>
    <w:rsid w:val="005D760D"/>
    <w:rsid w:val="00696007"/>
    <w:rsid w:val="006F6EBB"/>
    <w:rsid w:val="007201E5"/>
    <w:rsid w:val="008609D5"/>
    <w:rsid w:val="0097725F"/>
    <w:rsid w:val="00C92616"/>
    <w:rsid w:val="00CB13F2"/>
    <w:rsid w:val="00E03949"/>
    <w:rsid w:val="00E43F01"/>
    <w:rsid w:val="00EA3595"/>
    <w:rsid w:val="00FA4594"/>
    <w:rsid w:val="00FB5127"/>
    <w:rsid w:val="00FF11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37C4F"/>
  <w15:docId w15:val="{ACC09007-195E-41E0-81D1-495CD7E8A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GB"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34CF3"/>
    <w:pPr>
      <w:tabs>
        <w:tab w:val="center" w:pos="4536"/>
        <w:tab w:val="right" w:pos="9072"/>
      </w:tabs>
    </w:pPr>
  </w:style>
  <w:style w:type="character" w:customStyle="1" w:styleId="NagwekZnak">
    <w:name w:val="Nagłówek Znak"/>
    <w:basedOn w:val="Domylnaczcionkaakapitu"/>
    <w:link w:val="Nagwek"/>
    <w:uiPriority w:val="99"/>
    <w:rsid w:val="00434CF3"/>
    <w:rPr>
      <w:color w:val="000000"/>
    </w:rPr>
  </w:style>
  <w:style w:type="paragraph" w:styleId="Stopka">
    <w:name w:val="footer"/>
    <w:basedOn w:val="Normalny"/>
    <w:link w:val="StopkaZnak"/>
    <w:uiPriority w:val="99"/>
    <w:unhideWhenUsed/>
    <w:rsid w:val="00434CF3"/>
    <w:pPr>
      <w:tabs>
        <w:tab w:val="center" w:pos="4536"/>
        <w:tab w:val="right" w:pos="9072"/>
      </w:tabs>
    </w:pPr>
  </w:style>
  <w:style w:type="character" w:customStyle="1" w:styleId="StopkaZnak">
    <w:name w:val="Stopka Znak"/>
    <w:basedOn w:val="Domylnaczcionkaakapitu"/>
    <w:link w:val="Stopka"/>
    <w:uiPriority w:val="99"/>
    <w:rsid w:val="00434CF3"/>
    <w:rPr>
      <w:color w:val="000000"/>
    </w:rPr>
  </w:style>
  <w:style w:type="paragraph" w:styleId="Akapitzlist">
    <w:name w:val="List Paragraph"/>
    <w:basedOn w:val="Normalny"/>
    <w:uiPriority w:val="34"/>
    <w:qFormat/>
    <w:rsid w:val="00434C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3332</Words>
  <Characters>19997</Characters>
  <Application>Microsoft Office Word</Application>
  <DocSecurity>4</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ŻURANIEWSKA Agnieszka</dc:creator>
  <cp:lastModifiedBy>ŻURANIEWSKA Agnieszka</cp:lastModifiedBy>
  <cp:revision>2</cp:revision>
  <dcterms:created xsi:type="dcterms:W3CDTF">2022-11-10T11:25:00Z</dcterms:created>
  <dcterms:modified xsi:type="dcterms:W3CDTF">2022-11-10T11:25:00Z</dcterms:modified>
</cp:coreProperties>
</file>